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png" ContentType="image/png"/>
  <Override PartName="/word/media/rId1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Open3DCP: A Public Data Schema for 3D Concrete Printing</w:t>
      </w:r>
    </w:p>
    <w:p>
      <w:pPr>
        <w:pStyle w:val="Subtitle"/>
      </w:pPr>
      <w:r>
        <w:t xml:space="preserve">Design, rationale, and the measurement gaps of an analysis-ready record for extrusion 3D concrete printing</w:t>
      </w:r>
    </w:p>
    <w:p>
      <w:pPr>
        <w:pStyle w:val="Author"/>
      </w:pPr>
      <w:r>
        <w:t xml:space="preserve">Nicholas Sonnentag — Sunnyday Technologies, Wisconsin, USA</w:t>
      </w:r>
    </w:p>
    <w:p>
      <w:pPr>
        <w:pStyle w:val="Date"/>
      </w:pPr>
      <w:r>
        <w:t xml:space="preserve">2026-06-10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9" w:name="abstract"/>
    <w:p>
      <w:pPr>
        <w:pStyle w:val="Heading1"/>
      </w:pPr>
      <w:r>
        <w:t xml:space="preserve">Abstract</w:t>
      </w:r>
    </w:p>
    <w:p>
      <w:pPr>
        <w:pStyle w:val="FirstParagraph"/>
      </w:pPr>
      <w:r>
        <w:t xml:space="preserve">Three-dimensional concrete printing (3DCP) is a coupled material–process problem: a printable</w:t>
      </w:r>
      <w:r>
        <w:t xml:space="preserve"> </w:t>
      </w:r>
      <w:r>
        <w:t xml:space="preserve">cementitious system is defined by composition, rheology, equipment, toolpath, environmental</w:t>
      </w:r>
      <w:r>
        <w:t xml:space="preserve"> </w:t>
      </w:r>
      <w:r>
        <w:t xml:space="preserve">exposure, curing, specimen extraction, test orientation, and measured performance. The literature</w:t>
      </w:r>
      <w:r>
        <w:t xml:space="preserve"> </w:t>
      </w:r>
      <w:r>
        <w:t xml:space="preserve">reports many of these facts, but distributes them across prose, tables, figures, and supplementary</w:t>
      </w:r>
      <w:r>
        <w:t xml:space="preserve"> </w:t>
      </w:r>
      <w:r>
        <w:t xml:space="preserve">files using inconsistent names and unit bases — which makes cross-study comparison, meta-analysis,</w:t>
      </w:r>
      <w:r>
        <w:t xml:space="preserve"> </w:t>
      </w:r>
      <w:r>
        <w:t xml:space="preserve">and machine-learning workflows harder than the underlying measurements require. Open3DCP is an open,</w:t>
      </w:r>
      <w:r>
        <w:t xml:space="preserve"> </w:t>
      </w:r>
      <w:r>
        <w:t xml:space="preserve">flat schema for recording extrusion-based 3DCP mix-design and test records. Version 1.7.5 defines</w:t>
      </w:r>
      <w:r>
        <w:t xml:space="preserve"> </w:t>
      </w:r>
      <w:r>
        <w:rPr>
          <w:b/>
          <w:bCs/>
        </w:rPr>
        <w:t xml:space="preserve">248 columns</w:t>
      </w:r>
      <w:r>
        <w:t xml:space="preserve"> </w:t>
      </w:r>
      <w:r>
        <w:t xml:space="preserve">in its primary record, spanning composition, fibers, admixtures, fresh-state rheology,</w:t>
      </w:r>
      <w:r>
        <w:t xml:space="preserve"> </w:t>
      </w:r>
      <w:r>
        <w:t xml:space="preserve">3DCP process parameters, hardened</w:t>
      </w:r>
      <w:r>
        <w:t xml:space="preserve"> </w:t>
      </w:r>
      <w:r>
        <w:t xml:space="preserve">mechanical and durability properties, interlayer bond, specimen/test metadata, environmental</w:t>
      </w:r>
      <w:r>
        <w:t xml:space="preserve"> </w:t>
      </w:r>
      <w:r>
        <w:t xml:space="preserve">conditions, and provenance. Quantities are recorded on a</w:t>
      </w:r>
      <w:r>
        <w:t xml:space="preserve"> </w:t>
      </w:r>
      <w:r>
        <w:rPr>
          <w:b/>
          <w:bCs/>
        </w:rPr>
        <w:t xml:space="preserve">dual basis that keeps kg/m³ — the field</w:t>
      </w:r>
      <w:r>
        <w:rPr>
          <w:b/>
          <w:bCs/>
        </w:rPr>
        <w:t xml:space="preserve"> </w:t>
      </w:r>
      <w:r>
        <w:rPr>
          <w:b/>
          <w:bCs/>
        </w:rPr>
        <w:t xml:space="preserve">standard — first-class</w:t>
      </w:r>
      <w:r>
        <w:t xml:space="preserve">: the constituent columns store the self-normalizing mass-percent projection,</w:t>
      </w:r>
      <w:r>
        <w:t xml:space="preserve"> </w:t>
      </w:r>
      <w:r>
        <w:t xml:space="preserve">and bridge columns preserve the source’s kg/m³ exactly, so either basis is recoverable without a</w:t>
      </w:r>
      <w:r>
        <w:t xml:space="preserve"> </w:t>
      </w:r>
      <w:r>
        <w:t xml:space="preserve">density assumption; missingness is represented as</w:t>
      </w:r>
      <w:r>
        <w:t xml:space="preserve"> </w:t>
      </w:r>
      <w:r>
        <w:rPr>
          <w:rStyle w:val="VerbatimChar"/>
        </w:rPr>
        <w:t xml:space="preserve">NULL</w:t>
      </w:r>
      <w:r>
        <w:t xml:space="preserve">, with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reserved for explicit source-reported</w:t>
      </w:r>
      <w:r>
        <w:t xml:space="preserve"> </w:t>
      </w:r>
      <w:r>
        <w:t xml:space="preserve">zero. Open3DCP is a</w:t>
      </w:r>
      <w:r>
        <w:t xml:space="preserve"> </w:t>
      </w:r>
      <w:r>
        <w:rPr>
          <w:i/>
          <w:iCs/>
        </w:rPr>
        <w:t xml:space="preserve">reporting layer</w:t>
      </w:r>
      <w:r>
        <w:t xml:space="preserve">, not a test method or a substitute for ASTM, EN, ACI, ICC, ISO, or</w:t>
      </w:r>
      <w:r>
        <w:t xml:space="preserve"> </w:t>
      </w:r>
      <w:r>
        <w:t xml:space="preserve">RILEM standards: it lets 3DCP records be assembled into interoperable datasets for scientific review,</w:t>
      </w:r>
      <w:r>
        <w:t xml:space="preserve"> </w:t>
      </w:r>
      <w:r>
        <w:t xml:space="preserve">Integrated Computational Materials Engineering (ICME)–style process–structure–property analysis,</w:t>
      </w:r>
      <w:r>
        <w:t xml:space="preserve"> </w:t>
      </w:r>
      <w:r>
        <w:t xml:space="preserve">digital-twin reconstruction, and downstream analysis where sufficient validated data exist. We give the</w:t>
      </w:r>
      <w:r>
        <w:t xml:space="preserve"> </w:t>
      </w:r>
      <w:r>
        <w:t xml:space="preserve">design rationale for each major decision and</w:t>
      </w:r>
      <w:r>
        <w:t xml:space="preserve"> </w:t>
      </w:r>
      <w:r>
        <w:rPr>
          <w:b/>
          <w:bCs/>
        </w:rPr>
        <w:t xml:space="preserve">demonstrate ingestion</w:t>
      </w:r>
      <w:r>
        <w:t xml:space="preserve"> </w:t>
      </w:r>
      <w:r>
        <w:t xml:space="preserve">on five openly-licensed public</w:t>
      </w:r>
      <w:r>
        <w:t xml:space="preserve"> </w:t>
      </w:r>
      <w:r>
        <w:t xml:space="preserve">datasets — a cast-concrete benchmark, a corporate carbon-aware set, a ~30-laboratory 3DCP mechanical</w:t>
      </w:r>
      <w:r>
        <w:t xml:space="preserve"> </w:t>
      </w:r>
      <w:r>
        <w:t xml:space="preserve">database, an extrusion-3DCP printability set, and a project-layer building catalogue — into one schema,</w:t>
      </w:r>
      <w:r>
        <w:t xml:space="preserve"> </w:t>
      </w:r>
      <w:r>
        <w:t xml:space="preserve">including a cross-study print-anisotropy result. The point Open3DCP</w:t>
      </w:r>
      <w:r>
        <w:t xml:space="preserve"> </w:t>
      </w:r>
      <w:r>
        <w:t xml:space="preserve">makes is one of</w:t>
      </w:r>
      <w:r>
        <w:t xml:space="preserve"> </w:t>
      </w:r>
      <w:r>
        <w:rPr>
          <w:b/>
          <w:bCs/>
        </w:rPr>
        <w:t xml:space="preserve">characterization, not prediction</w:t>
      </w:r>
      <w:r>
        <w:t xml:space="preserve">: each source records a different slice of the</w:t>
      </w:r>
      <w:r>
        <w:t xml:space="preserve"> </w:t>
      </w:r>
      <w:r>
        <w:t xml:space="preserve">material and process — composition, fresh-state rheology, hardened performance, embodied carbon, print</w:t>
      </w:r>
      <w:r>
        <w:t xml:space="preserve"> </w:t>
      </w:r>
      <w:r>
        <w:t xml:space="preserve">orientation, or the as-built project — and the schema holds their union in one shape, so that what any one</w:t>
      </w:r>
      <w:r>
        <w:t xml:space="preserve"> </w:t>
      </w:r>
      <w:r>
        <w:t xml:space="preserve">study leaves unmeasured is made explicit rather than lost. We also identify a taxonomy of features that</w:t>
      </w:r>
      <w:r>
        <w:t xml:space="preserve"> </w:t>
      </w:r>
      <w:r>
        <w:t xml:space="preserve">are physically important but cannot yet be measured reliably — an agenda for instrumentation.</w:t>
      </w:r>
    </w:p>
    <w:bookmarkEnd w:id="9"/>
    <w:bookmarkStart w:id="91" w:name="contributions"/>
    <w:p>
      <w:pPr>
        <w:pStyle w:val="Heading1"/>
      </w:pPr>
      <w:r>
        <w:t xml:space="preserve">Contributions</w:t>
      </w:r>
    </w:p>
    <w:p>
      <w:pPr>
        <w:pStyle w:val="Compact"/>
        <w:numPr>
          <w:ilvl w:val="0"/>
          <w:numId w:val="1001"/>
        </w:numPr>
      </w:pPr>
      <w:r>
        <w:t xml:space="preserve">An open,</w:t>
      </w:r>
      <w:r>
        <w:t xml:space="preserve"> </w:t>
      </w:r>
      <w:r>
        <w:rPr>
          <w:b/>
          <w:bCs/>
        </w:rPr>
        <w:t xml:space="preserve">3DCP-native flat data schema</w:t>
      </w:r>
      <w:r>
        <w:t xml:space="preserve"> </w:t>
      </w:r>
      <w:r>
        <w:t xml:space="preserve">(v1.7.5, 248 columns) with first-class columns for print</w:t>
      </w:r>
      <w:r>
        <w:t xml:space="preserve"> </w:t>
      </w:r>
      <w:r>
        <w:t xml:space="preserve">process parameters, fresh-state rheology, and interlayer-bond properties — the features that</w:t>
      </w:r>
      <w:r>
        <w:t xml:space="preserve"> </w:t>
      </w:r>
      <w:r>
        <w:t xml:space="preserve">distinguish printed concrete from cast.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design rationale</w:t>
      </w:r>
      <w:r>
        <w:t xml:space="preserve"> </w:t>
      </w:r>
      <w:r>
        <w:t xml:space="preserve">for each consequential choice: flat table over graph,</w:t>
      </w:r>
      <w:r>
        <w:t xml:space="preserve"> </w:t>
      </w:r>
      <w:r>
        <w:rPr>
          <w:i/>
          <w:iCs/>
        </w:rPr>
        <w:t xml:space="preserve">dual-basis</w:t>
      </w:r>
      <w:r>
        <w:t xml:space="preserve"> </w:t>
      </w:r>
      <w:r>
        <w:t xml:space="preserve">recording that keeps kg/m³ first-class, fineness-modulus over maximum aggregate size, and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≠</w:t>
      </w:r>
      <w:r>
        <w:t xml:space="preserve"> </w:t>
      </w:r>
      <w:r>
        <w:rPr>
          <w:rStyle w:val="VerbatimChar"/>
        </w:rPr>
        <w:t xml:space="preserve">0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measurement-gap taxonomy</w:t>
      </w:r>
      <w:r>
        <w:t xml:space="preserve"> </w:t>
      </w:r>
      <w:r>
        <w:t xml:space="preserve">— real-time process monitoring, in-situ material state, and</w:t>
      </w:r>
      <w:r>
        <w:t xml:space="preserve"> </w:t>
      </w:r>
      <w:r>
        <w:t xml:space="preserve">post-process characterization gaps — framed as a research agenda for instrumentation.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worked demonstration</w:t>
      </w:r>
      <w:r>
        <w:t xml:space="preserve"> </w:t>
      </w:r>
      <w:r>
        <w:t xml:space="preserve">ingesting five openly-licensed public datasets — a cast-concrete benchmark,</w:t>
      </w:r>
      <w:r>
        <w:t xml:space="preserve"> </w:t>
      </w:r>
      <w:r>
        <w:t xml:space="preserve">a corporate carbon-aware set, a ~30-laboratory 3DCP mechanical database, an extrusion-3DCP printability</w:t>
      </w:r>
      <w:r>
        <w:t xml:space="preserve"> </w:t>
      </w:r>
      <w:r>
        <w:t xml:space="preserve">set, and a project-layer building catalogue — into one schema, two of them carrying a real automated</w:t>
      </w:r>
      <w:r>
        <w:t xml:space="preserve"> </w:t>
      </w:r>
      <w:r>
        <w:t xml:space="preserve">fidelity score, and yielding a cross-study print-anisotropy result that the</w:t>
      </w:r>
      <w:r>
        <w:t xml:space="preserve"> </w:t>
      </w:r>
      <w:r>
        <w:t xml:space="preserve">schema’s orientation field makes expressible (§6).</w:t>
      </w:r>
    </w:p>
    <w:p>
      <w:r>
        <w:pict>
          <v:rect style="width:0;height:1.5pt" o:hralign="center" o:hrstd="t" o:hr="t"/>
        </w:pict>
      </w:r>
    </w:p>
    <w:bookmarkStart w:id="1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3D concrete printing has moved from laboratory demonstrations toward construction-scale</w:t>
      </w:r>
      <w:r>
        <w:t xml:space="preserve"> </w:t>
      </w:r>
      <w:r>
        <w:t xml:space="preserve">experimentation; printed residential structures, bridges, and architectural elements have been</w:t>
      </w:r>
      <w:r>
        <w:t xml:space="preserve"> </w:t>
      </w:r>
      <w:r>
        <w:t xml:space="preserve">produced in many countries worldwide using systems ranging from gantry extruders to six-axis</w:t>
      </w:r>
      <w:r>
        <w:t xml:space="preserve"> </w:t>
      </w:r>
      <w:r>
        <w:t xml:space="preserve">robotic arms [1, 2, 3]. The technical literature now spans printable mortars, alkali-activated</w:t>
      </w:r>
      <w:r>
        <w:t xml:space="preserve"> </w:t>
      </w:r>
      <w:r>
        <w:t xml:space="preserve">binders, fiber-reinforced systems, recycled aggregates, interlayer bond, anisotropic strength,</w:t>
      </w:r>
      <w:r>
        <w:t xml:space="preserve"> </w:t>
      </w:r>
      <w:r>
        <w:t xml:space="preserve">rheology, buildability, and durability. The public record is large enough to support comparative</w:t>
      </w:r>
      <w:r>
        <w:t xml:space="preserve"> </w:t>
      </w:r>
      <w:r>
        <w:t xml:space="preserve">analysis, but not yet consistently shaped enough to make that analysis straightforward.</w:t>
      </w:r>
    </w:p>
    <w:p>
      <w:pPr>
        <w:pStyle w:val="BodyText"/>
      </w:pPr>
      <w:r>
        <w:t xml:space="preserve">The central problem is not that researchers fail to report data — many papers report substantial</w:t>
      </w:r>
      <w:r>
        <w:t xml:space="preserve"> </w:t>
      </w:r>
      <w:r>
        <w:t xml:space="preserve">detail — but that the detail is not represented in a common structure. A material may appear as</w:t>
      </w:r>
      <w:r>
        <w:t xml:space="preserve"> </w:t>
      </w:r>
      <w:r>
        <w:t xml:space="preserve">“GGBFS,”</w:t>
      </w:r>
      <w:r>
        <w:t xml:space="preserve"> </w:t>
      </w:r>
      <w:r>
        <w:t xml:space="preserve">“slag,”</w:t>
      </w:r>
      <w:r>
        <w:t xml:space="preserve"> </w:t>
      </w:r>
      <w:r>
        <w:t xml:space="preserve">“ground granulated blast-furnace slag,”</w:t>
      </w:r>
      <w:r>
        <w:t xml:space="preserve"> </w:t>
      </w:r>
      <w:r>
        <w:t xml:space="preserve">or a supplier name; a dosage may be reported</w:t>
      </w:r>
      <w:r>
        <w:t xml:space="preserve"> </w:t>
      </w:r>
      <w:r>
        <w:t xml:space="preserve">in kg/m³, percent of binder, or percent of total mass; a compressive strength may refer to a cast</w:t>
      </w:r>
      <w:r>
        <w:t xml:space="preserve"> </w:t>
      </w:r>
      <w:r>
        <w:t xml:space="preserve">cube, a printed prism, a cored specimen, or a coupon loaded across the layer interface. These</w:t>
      </w:r>
      <w:r>
        <w:t xml:space="preserve"> </w:t>
      </w:r>
      <w:r>
        <w:t xml:space="preserve">distinctions matter scientifically, yet they are often not preserved in a machine-readable way. The</w:t>
      </w:r>
      <w:r>
        <w:t xml:space="preserve"> </w:t>
      </w:r>
      <w:r>
        <w:t xml:space="preserve">consequence is direct: datasets from different groups cannot be combined without extensive manual</w:t>
      </w:r>
      <w:r>
        <w:t xml:space="preserve"> </w:t>
      </w:r>
      <w:r>
        <w:t xml:space="preserve">harmonization, so the field cannot easily build the large, multi-source corpora that modern analysis</w:t>
      </w:r>
      <w:r>
        <w:t xml:space="preserve"> </w:t>
      </w:r>
      <w:r>
        <w:t xml:space="preserve">needs. The most widely used concrete dataset for machine learning — Yeh’s UCI Concrete Compressive</w:t>
      </w:r>
      <w:r>
        <w:t xml:space="preserve"> </w:t>
      </w:r>
      <w:r>
        <w:t xml:space="preserve">Strength set [4] — captures only composition and age, with no process, rheology, or orientation fields,</w:t>
      </w:r>
      <w:r>
        <w:t xml:space="preserve"> </w:t>
      </w:r>
      <w:r>
        <w:t xml:space="preserve">and predates 3DCP entirely (§3).</w:t>
      </w:r>
    </w:p>
    <w:p>
      <w:pPr>
        <w:pStyle w:val="BodyText"/>
      </w:pPr>
      <w:r>
        <w:t xml:space="preserve">What makes 3DCP fundamentally different from cast concrete can be stated in four points: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Process–property coupling.</w:t>
      </w:r>
      <w:r>
        <w:t xml:space="preserve"> </w:t>
      </w:r>
      <w:r>
        <w:t xml:space="preserve">The same mix, printed at different speeds, layer heights, and time</w:t>
      </w:r>
      <w:r>
        <w:t xml:space="preserve"> </w:t>
      </w:r>
      <w:r>
        <w:t xml:space="preserve">gaps, can produce substantially different mechanical properties. Process parameters are design</w:t>
      </w:r>
      <w:r>
        <w:t xml:space="preserve"> </w:t>
      </w:r>
      <w:r>
        <w:t xml:space="preserve">variables, not noise.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Anisotropy.</w:t>
      </w:r>
      <w:r>
        <w:t xml:space="preserve"> </w:t>
      </w:r>
      <w:r>
        <w:t xml:space="preserve">Printed concrete is direction-dependent; specimens tested across the layer</w:t>
      </w:r>
      <w:r>
        <w:t xml:space="preserve"> </w:t>
      </w:r>
      <w:r>
        <w:t xml:space="preserve">interface can be 20–40 % weaker than those tested parallel to the layers [5, 6]. A strength value</w:t>
      </w:r>
      <w:r>
        <w:t xml:space="preserve"> </w:t>
      </w:r>
      <w:r>
        <w:t xml:space="preserve">without an orientation is ambiguous.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Rheological demands.</w:t>
      </w:r>
      <w:r>
        <w:t xml:space="preserve"> </w:t>
      </w:r>
      <w:r>
        <w:t xml:space="preserve">The mix must be simultaneously pumpable and buildable; yield stress,</w:t>
      </w:r>
      <w:r>
        <w:t xml:space="preserve"> </w:t>
      </w:r>
      <w:r>
        <w:t xml:space="preserve">thixotropy, and open time are critical performance parameters absent from conventional concrete</w:t>
      </w:r>
      <w:r>
        <w:t xml:space="preserve"> </w:t>
      </w:r>
      <w:r>
        <w:t xml:space="preserve">datasets [7].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Interlayer bond.</w:t>
      </w:r>
      <w:r>
        <w:t xml:space="preserve"> </w:t>
      </w:r>
      <w:r>
        <w:t xml:space="preserve">The weakest link in a printed element is usually the interface between</w:t>
      </w:r>
      <w:r>
        <w:t xml:space="preserve"> </w:t>
      </w:r>
      <w:r>
        <w:t xml:space="preserve">layers, where bond depends on surface moisture, time gap, ambient conditions, and degree of</w:t>
      </w:r>
      <w:r>
        <w:t xml:space="preserve"> </w:t>
      </w:r>
      <w:r>
        <w:t xml:space="preserve">hydration at deposition [8, 9].</w:t>
      </w:r>
    </w:p>
    <w:p>
      <w:pPr>
        <w:pStyle w:val="FirstParagraph"/>
      </w:pPr>
      <w:r>
        <w:t xml:space="preserve">These four properties are what a 3DCP record has to capture if printed-concrete results are to be</w:t>
      </w:r>
      <w:r>
        <w:t xml:space="preserve"> </w:t>
      </w:r>
      <w:r>
        <w:t xml:space="preserve">compared across studies at all: a strength without a process, a rheology, and an orientation is not a</w:t>
      </w:r>
      <w:r>
        <w:t xml:space="preserve"> </w:t>
      </w:r>
      <w:r>
        <w:t xml:space="preserve">comparable measurement. Open3DCP exists to record that fuller experiment, not to model it.</w:t>
      </w:r>
    </w:p>
    <w:bookmarkEnd w:id="10"/>
    <w:bookmarkStart w:id="11" w:name="scope-and-non-scope"/>
    <w:p>
      <w:pPr>
        <w:pStyle w:val="Heading2"/>
      </w:pPr>
      <w:r>
        <w:t xml:space="preserve">2. Scope and non-scope</w:t>
      </w:r>
    </w:p>
    <w:p>
      <w:pPr>
        <w:pStyle w:val="FirstParagraph"/>
      </w:pPr>
      <w:r>
        <w:t xml:space="preserve">Open3DCP is a schema specification: it defines</w:t>
      </w:r>
      <w:r>
        <w:t xml:space="preserve"> </w:t>
      </w:r>
      <w:r>
        <w:rPr>
          <w:i/>
          <w:iCs/>
        </w:rPr>
        <w:t xml:space="preserve">how</w:t>
      </w:r>
      <w:r>
        <w:t xml:space="preserve"> </w:t>
      </w:r>
      <w:r>
        <w:t xml:space="preserve">to record data; it does not provide the data. It is</w:t>
      </w:r>
      <w:r>
        <w:t xml:space="preserve"> </w:t>
      </w:r>
      <w:r>
        <w:t xml:space="preserve">scoped to</w:t>
      </w:r>
      <w:r>
        <w:t xml:space="preserve"> </w:t>
      </w:r>
      <w:r>
        <w:rPr>
          <w:b/>
          <w:bCs/>
        </w:rPr>
        <w:t xml:space="preserve">extrusion-based (material-extrusion / FDM-style) 3D concrete printing</w:t>
      </w:r>
      <w:r>
        <w:t xml:space="preserve"> </w:t>
      </w:r>
      <w:r>
        <w:t xml:space="preserve">— the process whose</w:t>
      </w:r>
      <w:r>
        <w:t xml:space="preserve"> </w:t>
      </w:r>
      <w:r>
        <w:t xml:space="preserve">pump, nozzle, layer schedule, and toolpath the schema captures. Particle-bed / binder-jetting, spray,</w:t>
      </w:r>
      <w:r>
        <w:t xml:space="preserve"> </w:t>
      </w:r>
      <w:r>
        <w:t xml:space="preserve">and slip-form methods are out of scope: they have different process variables and would need their own</w:t>
      </w:r>
      <w:r>
        <w:t xml:space="preserve"> </w:t>
      </w:r>
      <w:r>
        <w:t xml:space="preserve">process block.</w:t>
      </w:r>
    </w:p>
    <w:p>
      <w:pPr>
        <w:pStyle w:val="BodyText"/>
      </w:pPr>
      <w:r>
        <w:t xml:space="preserve">On materials chemistry, Open3DCP covers</w:t>
      </w:r>
      <w:r>
        <w:t xml:space="preserve"> </w:t>
      </w:r>
      <w:r>
        <w:rPr>
          <w:b/>
          <w:bCs/>
        </w:rPr>
        <w:t xml:space="preserve">hydraulic cementitious systems</w:t>
      </w:r>
      <w:r>
        <w:t xml:space="preserve"> </w:t>
      </w:r>
      <w:r>
        <w:t xml:space="preserve">— Portland and blended cements,</w:t>
      </w:r>
      <w:r>
        <w:t xml:space="preserve"> </w:t>
      </w:r>
      <w:r>
        <w:t xml:space="preserve">calcium-aluminate and calcium-sulfoaluminate cements, and high-calcium alkali-activated slag, whose</w:t>
      </w:r>
      <w:r>
        <w:t xml:space="preserve"> </w:t>
      </w:r>
      <w:r>
        <w:t xml:space="preserve">C-(A-)S-H binding gel is chemically continuous with Portland hydrates. Low-calcium fly-ash</w:t>
      </w:r>
      <w:r>
        <w:t xml:space="preserve"> </w:t>
      </w:r>
      <w:r>
        <w:rPr>
          <w:b/>
          <w:bCs/>
        </w:rPr>
        <w:t xml:space="preserve">geopolymers</w:t>
      </w:r>
      <w:r>
        <w:t xml:space="preserve"> </w:t>
      </w:r>
      <w:r>
        <w:t xml:space="preserve">(whose N-A-S-H gel is a distinct binder chemistry) are out of scope; the schema’s activator columns exist</w:t>
      </w:r>
      <w:r>
        <w:t xml:space="preserve"> </w:t>
      </w:r>
      <w:r>
        <w:t xml:space="preserve">to record the high-calcium alkali-activated systems that are in scope, not to characterize geopolymers.</w:t>
      </w:r>
    </w:p>
    <w:p>
      <w:pPr>
        <w:pStyle w:val="BodyText"/>
      </w:pPr>
      <w:r>
        <w:t xml:space="preserve">Open3DCP</w:t>
      </w:r>
      <w:r>
        <w:t xml:space="preserve"> </w:t>
      </w:r>
      <w:r>
        <w:rPr>
          <w:b/>
          <w:bCs/>
        </w:rPr>
        <w:t xml:space="preserve">is</w:t>
      </w:r>
      <w:r>
        <w:t xml:space="preserve">:</w:t>
      </w:r>
    </w:p>
    <w:p>
      <w:pPr>
        <w:pStyle w:val="Compact"/>
        <w:numPr>
          <w:ilvl w:val="0"/>
          <w:numId w:val="1003"/>
        </w:numPr>
      </w:pPr>
      <w:r>
        <w:t xml:space="preserve">A public column vocabulary for 3DCP mix-design and test records.</w:t>
      </w:r>
    </w:p>
    <w:p>
      <w:pPr>
        <w:pStyle w:val="Compact"/>
        <w:numPr>
          <w:ilvl w:val="0"/>
          <w:numId w:val="1003"/>
        </w:numPr>
      </w:pPr>
      <w:r>
        <w:t xml:space="preserve">A dual-basis, SI-unit reporting convention: mass-percent stored, the source’s kg/m³ (the field</w:t>
      </w:r>
      <w:r>
        <w:t xml:space="preserve"> </w:t>
      </w:r>
      <w:r>
        <w:t xml:space="preserve">standard) preserved exactly via bridge columns — either basis recoverable without assumption.</w:t>
      </w:r>
    </w:p>
    <w:p>
      <w:pPr>
        <w:pStyle w:val="Compact"/>
        <w:numPr>
          <w:ilvl w:val="0"/>
          <w:numId w:val="1003"/>
        </w:numPr>
      </w:pPr>
      <w:r>
        <w:t xml:space="preserve">A standards-aligned cross-reference layer for common material classes and test methods.</w:t>
      </w:r>
    </w:p>
    <w:p>
      <w:pPr>
        <w:pStyle w:val="Compact"/>
        <w:numPr>
          <w:ilvl w:val="0"/>
          <w:numId w:val="1003"/>
        </w:numPr>
      </w:pPr>
      <w:r>
        <w:t xml:space="preserve">A flat structure for CSV, SQL, Parquet, dataframe, and repository-deposit workflows.</w:t>
      </w:r>
    </w:p>
    <w:p>
      <w:pPr>
        <w:pStyle w:val="Compact"/>
        <w:numPr>
          <w:ilvl w:val="0"/>
          <w:numId w:val="1003"/>
        </w:numPr>
      </w:pPr>
      <w:r>
        <w:t xml:space="preserve">A citable artifact with a DOI and Apache-2.0 licensing.</w:t>
      </w:r>
    </w:p>
    <w:p>
      <w:pPr>
        <w:pStyle w:val="FirstParagraph"/>
      </w:pPr>
      <w:r>
        <w:t xml:space="preserve">Open3DCP</w:t>
      </w:r>
      <w:r>
        <w:t xml:space="preserve"> </w:t>
      </w:r>
      <w:r>
        <w:rPr>
          <w:b/>
          <w:bCs/>
        </w:rPr>
        <w:t xml:space="preserve">is not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t xml:space="preserve">A dataset or benchmark, a database service, or an API.</w:t>
      </w:r>
    </w:p>
    <w:p>
      <w:pPr>
        <w:pStyle w:val="Compact"/>
        <w:numPr>
          <w:ilvl w:val="0"/>
          <w:numId w:val="1004"/>
        </w:numPr>
      </w:pPr>
      <w:r>
        <w:t xml:space="preserve">A structural-design method or a code-compliance path.</w:t>
      </w:r>
    </w:p>
    <w:p>
      <w:pPr>
        <w:pStyle w:val="Compact"/>
        <w:numPr>
          <w:ilvl w:val="0"/>
          <w:numId w:val="1004"/>
        </w:numPr>
      </w:pPr>
      <w:r>
        <w:t xml:space="preserve">A replacement for ASTM, EN, ACI, ICC, RILEM, ISO, or jurisdiction-specific requirements.</w:t>
      </w:r>
    </w:p>
    <w:p>
      <w:pPr>
        <w:pStyle w:val="Compact"/>
        <w:numPr>
          <w:ilvl w:val="0"/>
          <w:numId w:val="1004"/>
        </w:numPr>
      </w:pPr>
      <w:r>
        <w:t xml:space="preserve">Evidence that any particular mix is safe, durable, printable, or construction-ready.</w:t>
      </w:r>
    </w:p>
    <w:p>
      <w:pPr>
        <w:pStyle w:val="FirstParagraph"/>
      </w:pPr>
      <w:r>
        <w:t xml:space="preserve">The schema can record data used in qualification or research workflows, but any construction use still</w:t>
      </w:r>
      <w:r>
        <w:t xml:space="preserve"> </w:t>
      </w:r>
      <w:r>
        <w:t xml:space="preserve">requires appropriate laboratory validation, professional engineering review, and approval under the</w:t>
      </w:r>
      <w:r>
        <w:t xml:space="preserve"> </w:t>
      </w:r>
      <w:r>
        <w:t xml:space="preserve">governing jurisdiction.</w:t>
      </w:r>
    </w:p>
    <w:bookmarkEnd w:id="11"/>
    <w:bookmarkStart w:id="12" w:name="background-and-related-work"/>
    <w:p>
      <w:pPr>
        <w:pStyle w:val="Heading2"/>
      </w:pPr>
      <w:r>
        <w:t xml:space="preserve">3. Background and related work</w:t>
      </w:r>
    </w:p>
    <w:p>
      <w:pPr>
        <w:pStyle w:val="FirstParagraph"/>
      </w:pPr>
      <w:r>
        <w:rPr>
          <w:b/>
          <w:bCs/>
        </w:rPr>
        <w:t xml:space="preserve">The ICME paradigm and lessons from metals additive manufacturing.</w:t>
      </w:r>
      <w:r>
        <w:t xml:space="preserve"> </w:t>
      </w:r>
      <w:r>
        <w:t xml:space="preserve">The idea that materials can be</w:t>
      </w:r>
      <w:r>
        <w:t xml:space="preserve"> </w:t>
      </w:r>
      <w:r>
        <w:t xml:space="preserve">designed from performance requirements backward through processing–structure–property relationships</w:t>
      </w:r>
      <w:r>
        <w:t xml:space="preserve"> </w:t>
      </w:r>
      <w:r>
        <w:t xml:space="preserve">was advanced by Olson’s work on hierarchical, systems-based materials design [15, 16]; this approach was</w:t>
      </w:r>
      <w:r>
        <w:t xml:space="preserve"> </w:t>
      </w:r>
      <w:r>
        <w:t xml:space="preserve">later formalized as Integrated Computational Materials Engineering (ICME). The Materials Genome</w:t>
      </w:r>
      <w:r>
        <w:t xml:space="preserve"> </w:t>
      </w:r>
      <w:r>
        <w:t xml:space="preserve">Initiative [17] sought to extend it through data infrastructure, funding repositories, ontologies, and</w:t>
      </w:r>
      <w:r>
        <w:t xml:space="preserve"> </w:t>
      </w:r>
      <w:r>
        <w:t xml:space="preserve">schema patterns. In parallel, the FAIR principles for scientific data — Findable, Accessible,</w:t>
      </w:r>
      <w:r>
        <w:t xml:space="preserve"> </w:t>
      </w:r>
      <w:r>
        <w:t xml:space="preserve">Interoperable, Reusable — were articulated by Wilkinson et al. [18]; together they shaped the</w:t>
      </w:r>
      <w:r>
        <w:t xml:space="preserve"> </w:t>
      </w:r>
      <w:r>
        <w:t xml:space="preserve">data-stewardship practices Open3DCP follows. Metals additive manufacturing</w:t>
      </w:r>
      <w:r>
        <w:t xml:space="preserve"> </w:t>
      </w:r>
      <w:r>
        <w:t xml:space="preserve">offers a particularly instructive parallel: early laser-powder-bed and directed-energy-deposition work</w:t>
      </w:r>
      <w:r>
        <w:t xml:space="preserve"> </w:t>
      </w:r>
      <w:r>
        <w:t xml:space="preserve">used ad-hoc formats until ASTM F3049 [10] and the NIST AM Bench program established common reporting</w:t>
      </w:r>
      <w:r>
        <w:t xml:space="preserve"> </w:t>
      </w:r>
      <w:r>
        <w:t xml:space="preserve">practices that enabled cross-laboratory comparison. That effort took most of a decade; 3DCP is at the</w:t>
      </w:r>
      <w:r>
        <w:t xml:space="preserve"> </w:t>
      </w:r>
      <w:r>
        <w:t xml:space="preserve">start of a similar trajectory. The key insight carried over is that</w:t>
      </w:r>
      <w:r>
        <w:t xml:space="preserve"> </w:t>
      </w:r>
      <w:r>
        <w:rPr>
          <w:b/>
          <w:bCs/>
        </w:rPr>
        <w:t xml:space="preserve">the manufacturing process is a</w:t>
      </w:r>
      <w:r>
        <w:rPr>
          <w:b/>
          <w:bCs/>
        </w:rPr>
        <w:t xml:space="preserve"> </w:t>
      </w:r>
      <w:r>
        <w:rPr>
          <w:b/>
          <w:bCs/>
        </w:rPr>
        <w:t xml:space="preserve">design variable, not a constraint</w:t>
      </w:r>
      <w:r>
        <w:t xml:space="preserve"> </w:t>
      </w:r>
      <w:r>
        <w:t xml:space="preserve">— printable concrete should be purpose-designed for layer-by-layer</w:t>
      </w:r>
      <w:r>
        <w:t xml:space="preserve"> </w:t>
      </w:r>
      <w:r>
        <w:t xml:space="preserve">deposition, and capturing that requires a record of what makes extrusion different from casting.</w:t>
      </w:r>
    </w:p>
    <w:p>
      <w:pPr>
        <w:pStyle w:val="BodyText"/>
      </w:pPr>
      <w:r>
        <w:rPr>
          <w:b/>
          <w:bCs/>
        </w:rPr>
        <w:t xml:space="preserve">Seminal work in 3D concrete printing.</w:t>
      </w:r>
      <w:r>
        <w:t xml:space="preserve"> </w:t>
      </w:r>
      <w:r>
        <w:t xml:space="preserve">Automated construction with cementitious materials dates to</w:t>
      </w:r>
      <w:r>
        <w:t xml:space="preserve"> </w:t>
      </w:r>
      <w:r>
        <w:t xml:space="preserve">Pegna’s solid-freeform work [19]; Khoshnevis developed Contour Crafting [20] and Cesaretti et al.</w:t>
      </w:r>
      <w:r>
        <w:t xml:space="preserve"> </w:t>
      </w:r>
      <w:r>
        <w:t xml:space="preserve">demonstrated binder-jetting of regolith simulant [21]. The modern extrusion era began with two groups</w:t>
      </w:r>
      <w:r>
        <w:t xml:space="preserve"> </w:t>
      </w:r>
      <w:r>
        <w:t xml:space="preserve">in parallel: at Loughborough, Buswell, Lim, Le and colleagues published early mix-design and</w:t>
      </w:r>
      <w:r>
        <w:t xml:space="preserve"> </w:t>
      </w:r>
      <w:r>
        <w:t xml:space="preserve">construction-scale studies [22, 23]; at TU Eindhoven, Bos, Wolfs, Ahmed and Salet produced early</w:t>
      </w:r>
      <w:r>
        <w:t xml:space="preserve"> </w:t>
      </w:r>
      <w:r>
        <w:t xml:space="preserve">structural printed elements — including a 3D-printed concrete bridge designed by testing [1, 24] — with Wolfs et al. on early-age behaviour [5] and Suiker on wall</w:t>
      </w:r>
      <w:r>
        <w:t xml:space="preserve"> </w:t>
      </w:r>
      <w:r>
        <w:t xml:space="preserve">stability [25]. Roussel established the rheological framework for printable concrete [7], and Perrot et</w:t>
      </w:r>
      <w:r>
        <w:t xml:space="preserve"> </w:t>
      </w:r>
      <w:r>
        <w:t xml:space="preserve">al. quantified structural build-up [26]. The NTU Singapore group contributed systematic rheology</w:t>
      </w:r>
      <w:r>
        <w:t xml:space="preserve"> </w:t>
      </w:r>
      <w:r>
        <w:t xml:space="preserve">studies including geopolymers [27, 28], printability regions [29], and fresh/hardened characterization</w:t>
      </w:r>
      <w:r>
        <w:t xml:space="preserve"> </w:t>
      </w:r>
      <w:r>
        <w:t xml:space="preserve">[30]. Interlayer bond — the defining weakness — has been studied by Kruger, van Zijl and colleagues on</w:t>
      </w:r>
      <w:r>
        <w:t xml:space="preserve"> </w:t>
      </w:r>
      <w:r>
        <w:t xml:space="preserve">porosity [6], Sanjayan et al. on surface moisture [8], Moelich et al. on quantitative bond models [9],</w:t>
      </w:r>
      <w:r>
        <w:t xml:space="preserve"> </w:t>
      </w:r>
      <w:r>
        <w:t xml:space="preserve">Van Der Putten et al. on surface modification [31], and Marchment and Sanjayan on mesh reinforcement</w:t>
      </w:r>
      <w:r>
        <w:t xml:space="preserve"> </w:t>
      </w:r>
      <w:r>
        <w:t xml:space="preserve">[32]. Structural implications were addressed by Asprone et al. [33] and Gebhard et al. [34]. Broader</w:t>
      </w:r>
      <w:r>
        <w:t xml:space="preserve"> </w:t>
      </w:r>
      <w:r>
        <w:t xml:space="preserve">reviews include Mechtcherine et al. on production physics [35], Buswell et al.’s research roadmap [3],</w:t>
      </w:r>
      <w:r>
        <w:t xml:space="preserve"> </w:t>
      </w:r>
      <w:r>
        <w:t xml:space="preserve">Nerella et al. on strain-based build-up [36], De Schutter et al. on technical/economic/environmental</w:t>
      </w:r>
      <w:r>
        <w:t xml:space="preserve"> </w:t>
      </w:r>
      <w:r>
        <w:t xml:space="preserve">potentials [2], large-scale UHPC work [37], a classification of building systems [38], particle-bed</w:t>
      </w:r>
      <w:r>
        <w:t xml:space="preserve"> </w:t>
      </w:r>
      <w:r>
        <w:t xml:space="preserve">printing [39], fiber-reinforced and recycled-aggregate formulations [40, 41], the 3DCP.fyi citation</w:t>
      </w:r>
      <w:r>
        <w:t xml:space="preserve"> </w:t>
      </w:r>
      <w:r>
        <w:t xml:space="preserve">network [42], and Wangler et al.’s digital-concrete review [43]; the RILEM TC 276-DFC state-of-the-art</w:t>
      </w:r>
      <w:r>
        <w:t xml:space="preserve"> </w:t>
      </w:r>
      <w:r>
        <w:t xml:space="preserve">report consolidates digital-fabrication practice [46].</w:t>
      </w:r>
    </w:p>
    <w:p>
      <w:pPr>
        <w:pStyle w:val="BodyText"/>
      </w:pPr>
      <w:r>
        <w:rPr>
          <w:b/>
          <w:bCs/>
        </w:rPr>
        <w:t xml:space="preserve">Standards development.</w:t>
      </w:r>
      <w:r>
        <w:t xml:space="preserve"> </w:t>
      </w:r>
      <w:r>
        <w:t xml:space="preserve">RILEM TC 304-ADC has driven test-method standardization for 3DCP; its</w:t>
      </w:r>
      <w:r>
        <w:t xml:space="preserve"> </w:t>
      </w:r>
      <w:r>
        <w:t xml:space="preserve">interlaboratory study coordinated testing across roughly thirty laboratories and quantified</w:t>
      </w:r>
      <w:r>
        <w:t xml:space="preserve"> </w:t>
      </w:r>
      <w:r>
        <w:t xml:space="preserve">inter-laboratory variability [11, 12, 13], with an accompanying database system for sharing</w:t>
      </w:r>
      <w:r>
        <w:t xml:space="preserve"> </w:t>
      </w:r>
      <w:r>
        <w:t xml:space="preserve">experimental data [14]. Vasilić reviewed the state of standardization, identifying the gap between</w:t>
      </w:r>
      <w:r>
        <w:t xml:space="preserve"> </w:t>
      </w:r>
      <w:r>
        <w:t xml:space="preserve">established</w:t>
      </w:r>
      <w:r>
        <w:t xml:space="preserve"> </w:t>
      </w:r>
      <w:r>
        <w:rPr>
          <w:i/>
          <w:iCs/>
        </w:rPr>
        <w:t xml:space="preserve">test methods</w:t>
      </w:r>
      <w:r>
        <w:t xml:space="preserve"> </w:t>
      </w:r>
      <w:r>
        <w:t xml:space="preserve">(which RILEM provides) and a unified</w:t>
      </w:r>
      <w:r>
        <w:t xml:space="preserve"> </w:t>
      </w:r>
      <w:r>
        <w:rPr>
          <w:i/>
          <w:iCs/>
        </w:rPr>
        <w:t xml:space="preserve">data schema</w:t>
      </w:r>
      <w:r>
        <w:t xml:space="preserve"> </w:t>
      </w:r>
      <w:r>
        <w:t xml:space="preserve">for analysis-ready</w:t>
      </w:r>
      <w:r>
        <w:t xml:space="preserve"> </w:t>
      </w:r>
      <w:r>
        <w:t xml:space="preserve">storage (which no formal standard yet provides) [44]. Conventional standards — ACI 318 for structural</w:t>
      </w:r>
      <w:r>
        <w:t xml:space="preserve"> </w:t>
      </w:r>
      <w:r>
        <w:t xml:space="preserve">design, ASTM C39 (compressive), C496 (splitting tensile), C1583 (pull-off direct tension), C78</w:t>
      </w:r>
      <w:r>
        <w:t xml:space="preserve"> </w:t>
      </w:r>
      <w:r>
        <w:t xml:space="preserve">(flexural), C469 (modulus), C191 (setting), C1611 (slump flow), and the EN 197/206/12390 series — supply</w:t>
      </w:r>
      <w:r>
        <w:t xml:space="preserve"> </w:t>
      </w:r>
      <w:r>
        <w:t xml:space="preserve">the measurement framework 3DCP inherits, but were written for cast concrete; the test methods remain</w:t>
      </w:r>
      <w:r>
        <w:t xml:space="preserve"> </w:t>
      </w:r>
      <w:r>
        <w:t xml:space="preserve">valid while the</w:t>
      </w:r>
      <w:r>
        <w:t xml:space="preserve"> </w:t>
      </w:r>
      <w:r>
        <w:rPr>
          <w:i/>
          <w:iCs/>
        </w:rPr>
        <w:t xml:space="preserve">conditions</w:t>
      </w:r>
      <w:r>
        <w:t xml:space="preserve"> </w:t>
      </w:r>
      <w:r>
        <w:t xml:space="preserve">of production and the</w:t>
      </w:r>
      <w:r>
        <w:t xml:space="preserve"> </w:t>
      </w:r>
      <w:r>
        <w:rPr>
          <w:i/>
          <w:iCs/>
        </w:rPr>
        <w:t xml:space="preserve">metadata</w:t>
      </w:r>
      <w:r>
        <w:t xml:space="preserve"> </w:t>
      </w:r>
      <w:r>
        <w:t xml:space="preserve">needed to interpret results differ.</w:t>
      </w:r>
    </w:p>
    <w:p>
      <w:pPr>
        <w:pStyle w:val="BodyText"/>
      </w:pPr>
      <w:r>
        <w:rPr>
          <w:b/>
          <w:bCs/>
        </w:rPr>
        <w:t xml:space="preserve">Existing datasets and their limitations.</w:t>
      </w:r>
      <w:r>
        <w:t xml:space="preserve"> </w:t>
      </w:r>
      <w:r>
        <w:t xml:space="preserve">The most cited ML concrete dataset, Yeh’s UCI set [4],</w:t>
      </w:r>
      <w:r>
        <w:t xml:space="preserve"> </w:t>
      </w:r>
      <w:r>
        <w:t xml:space="preserve">captures only composition and age in kg/m³ (requiring a density assumption for formulation-level</w:t>
      </w:r>
      <w:r>
        <w:t xml:space="preserve"> </w:t>
      </w:r>
      <w:r>
        <w:t xml:space="preserve">comparison) and no process, rheology, orientation, specimen, or provenance fields. Repositories such</w:t>
      </w:r>
      <w:r>
        <w:t xml:space="preserve"> </w:t>
      </w:r>
      <w:r>
        <w:t xml:space="preserve">as Mendeley Data and Zenodo host specialized concrete datasets, but — to our knowledge — none provide a</w:t>
      </w:r>
      <w:r>
        <w:t xml:space="preserve"> </w:t>
      </w:r>
      <w:r>
        <w:t xml:space="preserve">general-purpose 3DCP-native schema with first-class process parameters. The closest prior art is the</w:t>
      </w:r>
      <w:r>
        <w:t xml:space="preserve"> </w:t>
      </w:r>
      <w:r>
        <w:t xml:space="preserve">RILEM TC 304-ADC interlaboratory database system [14], the first multi-laboratory 3DCP dataset with</w:t>
      </w:r>
      <w:r>
        <w:t xml:space="preserve"> </w:t>
      </w:r>
      <w:r>
        <w:t xml:space="preserve">standardized protocols; its schema, however, is scoped to that interlaboratory study (its entity model</w:t>
      </w:r>
      <w:r>
        <w:t xml:space="preserve"> </w:t>
      </w:r>
      <w:r>
        <w:t xml:space="preserve">covers materials, specimens, and tests but not a general printing-process vocabulary), whereas Open3DCP</w:t>
      </w:r>
      <w:r>
        <w:t xml:space="preserve"> </w:t>
      </w:r>
      <w:r>
        <w:t xml:space="preserve">aims at a reusable, analysis-ready record across studies. We position Open3DCP as complementary to [14],</w:t>
      </w:r>
      <w:r>
        <w:t xml:space="preserve"> </w:t>
      </w:r>
      <w:r>
        <w:t xml:space="preserve">not a replacement.</w:t>
      </w:r>
    </w:p>
    <w:bookmarkEnd w:id="12"/>
    <w:bookmarkStart w:id="13" w:name="why-3dcp-needs-a-3dcp-native-record"/>
    <w:p>
      <w:pPr>
        <w:pStyle w:val="Heading2"/>
      </w:pPr>
      <w:r>
        <w:t xml:space="preserve">4. Why 3DCP needs a 3DCP-native record</w:t>
      </w:r>
    </w:p>
    <w:p>
      <w:pPr>
        <w:pStyle w:val="FirstParagraph"/>
      </w:pPr>
      <w:r>
        <w:t xml:space="preserve">Conventional concrete datasets focus on composition, age, and one or more hardened properties — useful</w:t>
      </w:r>
      <w:r>
        <w:t xml:space="preserve"> </w:t>
      </w:r>
      <w:r>
        <w:t xml:space="preserve">for cast concrete, where placement and compaction are treated as standardized. 3DCP makes that</w:t>
      </w:r>
      <w:r>
        <w:t xml:space="preserve"> </w:t>
      </w:r>
      <w:r>
        <w:t xml:space="preserve">assumption unsafe: the manufacturing process is part of the material definition. At minimum, a 3DCP</w:t>
      </w:r>
      <w:r>
        <w:t xml:space="preserve"> </w:t>
      </w:r>
      <w:r>
        <w:t xml:space="preserve">record must distinguish what was weighed into the mix; how it was prepared and modified over time; how</w:t>
      </w:r>
      <w:r>
        <w:t xml:space="preserve"> </w:t>
      </w:r>
      <w:r>
        <w:t xml:space="preserve">it was pumped and extruded; what geometry was deposited; how much time elapsed between adjacent layers;</w:t>
      </w:r>
      <w:r>
        <w:t xml:space="preserve"> </w:t>
      </w:r>
      <w:r>
        <w:t xml:space="preserve">the environmental conditions during deposition; how the specimen was cured and extracted; the loading</w:t>
      </w:r>
      <w:r>
        <w:t xml:space="preserve"> </w:t>
      </w:r>
      <w:r>
        <w:t xml:space="preserve">direction relative to the layer interface; the test method or local protocol; and whether each value</w:t>
      </w:r>
      <w:r>
        <w:t xml:space="preserve"> </w:t>
      </w:r>
      <w:r>
        <w:t xml:space="preserve">was measured, calculated, estimated, or merely reported. Without these attributes, two identical-looking</w:t>
      </w:r>
      <w:r>
        <w:t xml:space="preserve"> </w:t>
      </w:r>
      <w:r>
        <w:t xml:space="preserve">compressive strengths may describe physically different experiments — a cast cube and a printed coupon</w:t>
      </w:r>
      <w:r>
        <w:t xml:space="preserve"> </w:t>
      </w:r>
      <w:r>
        <w:t xml:space="preserve">loaded across interlayers should not collapse into one data point merely because both report MPa.</w:t>
      </w:r>
    </w:p>
    <w:bookmarkEnd w:id="13"/>
    <w:bookmarkStart w:id="14" w:name="schema-design-principles"/>
    <w:p>
      <w:pPr>
        <w:pStyle w:val="Heading2"/>
      </w:pPr>
      <w:r>
        <w:t xml:space="preserve">5. Schema design principles</w:t>
      </w:r>
    </w:p>
    <w:p>
      <w:pPr>
        <w:pStyle w:val="FirstParagraph"/>
      </w:pPr>
      <w:r>
        <w:t xml:space="preserve">Open3DCP is governed by a small set of principles, each motivated by the practical requirements of</w:t>
      </w:r>
      <w:r>
        <w:t xml:space="preserve"> </w:t>
      </w:r>
      <w:r>
        <w:t xml:space="preserve">analysis and the lessons of data standardization in adjacent fields.</w:t>
      </w:r>
    </w:p>
    <w:p>
      <w:pPr>
        <w:pStyle w:val="BodyText"/>
      </w:pPr>
      <w:r>
        <w:rPr>
          <w:b/>
          <w:bCs/>
        </w:rPr>
        <w:t xml:space="preserve">5.1 Flat schema.</w:t>
      </w:r>
      <w:r>
        <w:t xml:space="preserve"> </w:t>
      </w:r>
      <w:r>
        <w:t xml:space="preserve">Every stored feature is a named column in a single table — no JSON nesting, no</w:t>
      </w:r>
      <w:r>
        <w:t xml:space="preserve"> </w:t>
      </w:r>
      <w:r>
        <w:t xml:space="preserve">graph structure, no join required for basic analysis. This prioritizes adoption by the researchers,</w:t>
      </w:r>
      <w:r>
        <w:t xml:space="preserve"> </w:t>
      </w:r>
      <w:r>
        <w:t xml:space="preserve">curators, and ML practitioners who overwhelmingly work with tabular data (pandas, CSV, SQL) over the</w:t>
      </w:r>
      <w:r>
        <w:t xml:space="preserve"> </w:t>
      </w:r>
      <w:r>
        <w:t xml:space="preserve">representational elegance of graph models such as GEMD, which capture provenance chains and measurement</w:t>
      </w:r>
      <w:r>
        <w:t xml:space="preserve"> </w:t>
      </w:r>
      <w:r>
        <w:t xml:space="preserve">hierarchies but add friction for the common</w:t>
      </w:r>
      <w:r>
        <w:t xml:space="preserve"> </w:t>
      </w:r>
      <w:r>
        <w:t xml:space="preserve">“load a table and train a model”</w:t>
      </w:r>
      <w:r>
        <w:t xml:space="preserve"> </w:t>
      </w:r>
      <w:r>
        <w:t xml:space="preserve">use case. A graph view can</w:t>
      </w:r>
      <w:r>
        <w:t xml:space="preserve"> </w:t>
      </w:r>
      <w:r>
        <w:t xml:space="preserve">be constructed from the flat schema for the structure it captures; conversely, the flat row deliberately</w:t>
      </w:r>
      <w:r>
        <w:t xml:space="preserve"> </w:t>
      </w:r>
      <w:r>
        <w:t xml:space="preserve">omits the full relational/provenance tree (§9), so flat→graph reconstruction is faithful only for the</w:t>
      </w:r>
      <w:r>
        <w:t xml:space="preserve"> </w:t>
      </w:r>
      <w:r>
        <w:t xml:space="preserve">subset the row holds — the two are complementary, not equivalent.</w:t>
      </w:r>
    </w:p>
    <w:p>
      <w:pPr>
        <w:pStyle w:val="BodyText"/>
      </w:pPr>
      <w:r>
        <w:rPr>
          <w:b/>
          <w:bCs/>
        </w:rPr>
        <w:t xml:space="preserve">5.2 Dual basis: mass-percent stored, kg/m³ preserved.</w:t>
      </w:r>
      <w:r>
        <w:t xml:space="preserve"> </w:t>
      </w:r>
      <w:r>
        <w:t xml:space="preserve">To be precise about what sits where: the</w:t>
      </w:r>
      <w:r>
        <w:t xml:space="preserve"> </w:t>
      </w:r>
      <w:r>
        <w:t xml:space="preserve">constituent columns</w:t>
      </w:r>
      <w:r>
        <w:t xml:space="preserve"> </w:t>
      </w:r>
      <w:r>
        <w:rPr>
          <w:b/>
          <w:bCs/>
        </w:rPr>
        <w:t xml:space="preserve">store mass-percent of total wet mix</w:t>
      </w:r>
      <w:r>
        <w:t xml:space="preserve"> </w:t>
      </w:r>
      <w:r>
        <w:t xml:space="preserve">— the self-normalizing projection (Σ ≈ 100 %)</w:t>
      </w:r>
      <w:r>
        <w:t xml:space="preserve"> </w:t>
      </w:r>
      <w:r>
        <w:t xml:space="preserve">that pools cleanly across datasets — while the source’s</w:t>
      </w:r>
      <w:r>
        <w:t xml:space="preserve"> </w:t>
      </w:r>
      <w:r>
        <w:rPr>
          <w:b/>
          <w:bCs/>
        </w:rPr>
        <w:t xml:space="preserve">kg/m³</w:t>
      </w:r>
      <w:r>
        <w:t xml:space="preserve"> </w:t>
      </w:r>
      <w:r>
        <w:t xml:space="preserve">(the convention the concrete industry</w:t>
      </w:r>
      <w:r>
        <w:t xml:space="preserve"> </w:t>
      </w:r>
      <w:r>
        <w:t xml:space="preserve">and field actually use) is</w:t>
      </w:r>
      <w:r>
        <w:t xml:space="preserve"> </w:t>
      </w:r>
      <w:r>
        <w:rPr>
          <w:b/>
          <w:bCs/>
        </w:rPr>
        <w:t xml:space="preserve">preserved exactly and is first-class</w:t>
      </w:r>
      <w:r>
        <w:t xml:space="preserve">, never approximated. Three columns</w:t>
      </w:r>
      <w:r>
        <w:t xml:space="preserve"> </w:t>
      </w:r>
      <w:r>
        <w:t xml:space="preserve">make the two interconvertible without assumption:</w:t>
      </w:r>
      <w:r>
        <w:t xml:space="preserve"> </w:t>
      </w:r>
      <w:r>
        <w:rPr>
          <w:rStyle w:val="VerbatimChar"/>
        </w:rPr>
        <w:t xml:space="preserve">original_basis</w:t>
      </w:r>
      <w:r>
        <w:t xml:space="preserve"> </w:t>
      </w:r>
      <w:r>
        <w:t xml:space="preserve">records what the source reported</w:t>
      </w:r>
      <w:r>
        <w:t xml:space="preserve"> </w:t>
      </w:r>
      <w:r>
        <w:t xml:space="preserve">(</w:t>
      </w:r>
      <w:r>
        <w:rPr>
          <w:rStyle w:val="VerbatimChar"/>
        </w:rPr>
        <w:t xml:space="preserve">kg_m3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mass_pct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volume</w:t>
      </w:r>
      <w:r>
        <w:t xml:space="preserve"> </w:t>
      </w:r>
      <w:r>
        <w:t xml:space="preserve">|</w:t>
      </w:r>
      <w:r>
        <w:t xml:space="preserve"> </w:t>
      </w:r>
      <w:r>
        <w:rPr>
          <w:rStyle w:val="VerbatimChar"/>
        </w:rPr>
        <w:t xml:space="preserve">lb_yd3</w:t>
      </w:r>
      <w:r>
        <w:t xml:space="preserve">), and</w:t>
      </w:r>
      <w:r>
        <w:t xml:space="preserve"> </w:t>
      </w:r>
      <w:r>
        <w:rPr>
          <w:rStyle w:val="VerbatimChar"/>
        </w:rPr>
        <w:t xml:space="preserve">total_batched_mass_kg_m3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total_binder_kg_m3</w:t>
      </w:r>
      <w:r>
        <w:t xml:space="preserve"> </w:t>
      </w:r>
      <w:r>
        <w:t xml:space="preserve">carry</w:t>
      </w:r>
      <w:r>
        <w:t xml:space="preserve"> </w:t>
      </w:r>
      <w:r>
        <w:t xml:space="preserve">the batched-mass and binder totals needed to convert exactly in either direction. This resolves a real</w:t>
      </w:r>
      <w:r>
        <w:t xml:space="preserve"> </w:t>
      </w:r>
      <w:r>
        <w:t xml:space="preserve">tension: kg/m³ is what practitioners report and need, but normally requires a density assumption for</w:t>
      </w:r>
      <w:r>
        <w:t xml:space="preserve"> </w:t>
      </w:r>
      <w:r>
        <w:t xml:space="preserve">cross-dataset comparison when density is unreported; mass-percent is self-normalizing and</w:t>
      </w:r>
      <w:r>
        <w:t xml:space="preserve"> </w:t>
      </w:r>
      <w:r>
        <w:t xml:space="preserve">ideal for pooled analysis, but is foreign to field practice. Storing the projection plus the lossless</w:t>
      </w:r>
      <w:r>
        <w:t xml:space="preserve"> </w:t>
      </w:r>
      <w:r>
        <w:t xml:space="preserve">bridge serves both without discarding information. (Schema versions ≤ v1.5 carried mass-percent only,</w:t>
      </w:r>
      <w:r>
        <w:t xml:space="preserve"> </w:t>
      </w:r>
      <w:r>
        <w:t xml:space="preserve">with no recoverable kg/m³; v1.7 added the bridge columns that make kg/m³ exact. Admixtures are recorded on a</w:t>
      </w:r>
      <w:r>
        <w:t xml:space="preserve"> </w:t>
      </w:r>
      <w:r>
        <w:rPr>
          <w:b/>
          <w:bCs/>
        </w:rPr>
        <w:t xml:space="preserve">solids basis</w:t>
      </w:r>
      <w:r>
        <w:t xml:space="preserve"> </w:t>
      </w:r>
      <w:r>
        <w:t xml:space="preserve">where the source reports the solids fraction; where it does not — common in public datasets — the</w:t>
      </w:r>
      <w:r>
        <w:t xml:space="preserve"> </w:t>
      </w:r>
      <w:r>
        <w:t xml:space="preserve">as-delivered mass is stored</w:t>
      </w:r>
      <w:r>
        <w:t xml:space="preserve"> </w:t>
      </w:r>
      <w:r>
        <w:rPr>
          <w:i/>
          <w:iCs/>
        </w:rPr>
        <w:t xml:space="preserve">exactly</w:t>
      </w:r>
      <w:r>
        <w:t xml:space="preserve"> </w:t>
      </w:r>
      <w:r>
        <w:t xml:space="preserve">and the row’s</w:t>
      </w:r>
      <w:r>
        <w:t xml:space="preserve"> </w:t>
      </w:r>
      <w:r>
        <w:rPr>
          <w:rStyle w:val="VerbatimChar"/>
        </w:rPr>
        <w:t xml:space="preserve">admixture_basis</w:t>
      </w:r>
      <w:r>
        <w:t xml:space="preserve"> </w:t>
      </w:r>
      <w:r>
        <w:t xml:space="preserve">flag records</w:t>
      </w:r>
      <w:r>
        <w:t xml:space="preserve"> </w:t>
      </w:r>
      <w:r>
        <w:rPr>
          <w:rStyle w:val="VerbatimChar"/>
        </w:rPr>
        <w:t xml:space="preserve">as_delivered</w:t>
      </w:r>
      <w:r>
        <w:t xml:space="preserve"> </w:t>
      </w:r>
      <w:r>
        <w:t xml:space="preserve">(v1.7.5), so nothing is assumed and solids remain derivable when a fraction is known.</w:t>
      </w:r>
      <w:r>
        <w:t xml:space="preserve"> </w:t>
      </w:r>
      <w:r>
        <w:rPr>
          <w:rStyle w:val="VerbatimChar"/>
        </w:rPr>
        <w:t xml:space="preserve">w_b_ratio</w:t>
      </w:r>
      <w:r>
        <w:t xml:space="preserve"> </w:t>
      </w:r>
      <w:r>
        <w:t xml:space="preserve">counts only the water column, not admixture carrier water. The same preserve-don’t-presume principle</w:t>
      </w:r>
      <w:r>
        <w:t xml:space="preserve"> </w:t>
      </w:r>
      <w:r>
        <w:t xml:space="preserve">gives unclassified constituents exact homes:</w:t>
      </w:r>
      <w:r>
        <w:t xml:space="preserve"> </w:t>
      </w:r>
      <w:r>
        <w:rPr>
          <w:rStyle w:val="VerbatimChar"/>
        </w:rPr>
        <w:t xml:space="preserve">cement_unspecified</w:t>
      </w:r>
      <w:r>
        <w:t xml:space="preserve">,</w:t>
      </w:r>
      <w:r>
        <w:t xml:space="preserve"> </w:t>
      </w:r>
      <w:r>
        <w:rPr>
          <w:rStyle w:val="VerbatimChar"/>
        </w:rPr>
        <w:t xml:space="preserve">fine_agg_unspecified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coarse_agg_unspecified</w:t>
      </w:r>
      <w:r>
        <w:t xml:space="preserve"> </w:t>
      </w:r>
      <w:r>
        <w:t xml:space="preserve">store the mass when the source states no type, fineness modulus, or size —</w:t>
      </w:r>
      <w:r>
        <w:t xml:space="preserve"> </w:t>
      </w:r>
      <w:r>
        <w:t xml:space="preserve">the classification stays NULL instead of being defaulted.)</w:t>
      </w:r>
    </w:p>
    <w:p>
      <w:pPr>
        <w:pStyle w:val="BodyText"/>
      </w:pPr>
      <w:r>
        <w:rPr>
          <w:b/>
          <w:bCs/>
        </w:rPr>
        <w:t xml:space="preserve">5.3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NULL</w:t>
      </w:r>
      <w:r>
        <w:rPr>
          <w:b/>
          <w:bCs/>
        </w:rPr>
        <w:t xml:space="preserve"> </w:t>
      </w:r>
      <w:r>
        <w:rPr>
          <w:b/>
          <w:bCs/>
        </w:rPr>
        <w:t xml:space="preserve">is not zero.</w:t>
      </w:r>
      <w:r>
        <w:t xml:space="preserve"> </w:t>
      </w:r>
      <w:r>
        <w:t xml:space="preserve">Open3DCP distinguishes missingness from absence.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marks a value that</w:t>
      </w:r>
      <w:r>
        <w:t xml:space="preserve"> </w:t>
      </w:r>
      <w:r>
        <w:t xml:space="preserve">is unknown, not reported, not applicable, not measured, or not recoverable without an assumption;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is reserved for an explicit source-reported zero or absence.</w:t>
      </w:r>
      <w:r>
        <w:t xml:space="preserve"> </w:t>
      </w:r>
      <w:r>
        <w:rPr>
          <w:rStyle w:val="VerbatimChar"/>
        </w:rPr>
        <w:t xml:space="preserve">steel_fiber = 0</w:t>
      </w:r>
      <w:r>
        <w:t xml:space="preserve"> </w:t>
      </w:r>
      <w:r>
        <w:t xml:space="preserve">is appropriate when a</w:t>
      </w:r>
      <w:r>
        <w:t xml:space="preserve"> </w:t>
      </w:r>
      <w:r>
        <w:t xml:space="preserve">paper states no steel fiber was used;</w:t>
      </w:r>
      <w:r>
        <w:t xml:space="preserve"> </w:t>
      </w:r>
      <w:r>
        <w:rPr>
          <w:rStyle w:val="VerbatimChar"/>
        </w:rPr>
        <w:t xml:space="preserve">steel_fiber = NULL</w:t>
      </w:r>
      <w:r>
        <w:t xml:space="preserve"> </w:t>
      </w:r>
      <w:r>
        <w:t xml:space="preserve">when the paper is simply silent. The</w:t>
      </w:r>
      <w:r>
        <w:t xml:space="preserve"> </w:t>
      </w:r>
      <w:r>
        <w:t xml:space="preserve">distinction is critical for statistics and model training, because false zeros bias means,</w:t>
      </w:r>
      <w:r>
        <w:t xml:space="preserve"> </w:t>
      </w:r>
      <w:r>
        <w:t xml:space="preserve">correlations, feature importance, and learned absence effects.</w:t>
      </w:r>
    </w:p>
    <w:p>
      <w:pPr>
        <w:pStyle w:val="BodyText"/>
      </w:pPr>
      <w:r>
        <w:rPr>
          <w:b/>
          <w:bCs/>
        </w:rPr>
        <w:t xml:space="preserve">5.4 Standards alignment without standards substitution.</w:t>
      </w:r>
      <w:r>
        <w:t xml:space="preserve"> </w:t>
      </w:r>
      <w:r>
        <w:t xml:space="preserve">Column names and descriptions reference</w:t>
      </w:r>
      <w:r>
        <w:t xml:space="preserve"> </w:t>
      </w:r>
      <w:r>
        <w:t xml:space="preserve">established standards where they define material classes or test methods — ASTM C150 (cement types),</w:t>
      </w:r>
      <w:r>
        <w:t xml:space="preserve"> </w:t>
      </w:r>
      <w:r>
        <w:t xml:space="preserve">C618 (fly-ash classes), C989 (slag), C1240 (silica fume), C33 (aggregate grading by fineness modulus),</w:t>
      </w:r>
      <w:r>
        <w:t xml:space="preserve"> </w:t>
      </w:r>
      <w:r>
        <w:t xml:space="preserve">C39 and EN 12390-3 (compressive testing), and RILEM TC 304-ADC orientation terminology. These are</w:t>
      </w:r>
      <w:r>
        <w:t xml:space="preserve"> </w:t>
      </w:r>
      <w:r>
        <w:t xml:space="preserve">interoperability hooks, not endorsement or certification: a column can record that a result was</w:t>
      </w:r>
      <w:r>
        <w:t xml:space="preserve"> </w:t>
      </w:r>
      <w:r>
        <w:t xml:space="preserve">produced under a given method, but the schema cannot verify the method was performed correctly.</w:t>
      </w:r>
    </w:p>
    <w:p>
      <w:pPr>
        <w:pStyle w:val="BodyText"/>
      </w:pPr>
      <w:r>
        <w:rPr>
          <w:b/>
          <w:bCs/>
        </w:rPr>
        <w:t xml:space="preserve">5.5 Provenance by design and multi-age support.</w:t>
      </w:r>
      <w:r>
        <w:t xml:space="preserve"> </w:t>
      </w:r>
      <w:r>
        <w:t xml:space="preserve">Every record carries a DOI or source citation, a</w:t>
      </w:r>
      <w:r>
        <w:t xml:space="preserve"> </w:t>
      </w:r>
      <w:r>
        <w:t xml:space="preserve">measurement-confidence flag (measured / calculated / estimated / reported), and a laboratory</w:t>
      </w:r>
      <w:r>
        <w:t xml:space="preserve"> </w:t>
      </w:r>
      <w:r>
        <w:t xml:space="preserve">identifier, so downstream users can filter by data quality and trace results to their source. A</w:t>
      </w:r>
      <w:r>
        <w:t xml:space="preserve"> </w:t>
      </w:r>
      <w:r>
        <w:t xml:space="preserve">companion</w:t>
      </w:r>
      <w:r>
        <w:t xml:space="preserve"> </w:t>
      </w:r>
      <w:r>
        <w:rPr>
          <w:rStyle w:val="VerbatimChar"/>
        </w:rPr>
        <w:t xml:space="preserve">strength_measurements</w:t>
      </w:r>
      <w:r>
        <w:t xml:space="preserve"> </w:t>
      </w:r>
      <w:r>
        <w:t xml:space="preserve">table stores results at multiple ages (one hour through 365 days)</w:t>
      </w:r>
      <w:r>
        <w:t xml:space="preserve"> </w:t>
      </w:r>
      <w:r>
        <w:t xml:space="preserve">linked by formulation, supporting strength-development analysis — early-age strength governs</w:t>
      </w:r>
      <w:r>
        <w:t xml:space="preserve"> </w:t>
      </w:r>
      <w:r>
        <w:t xml:space="preserve">buildability while 28-day strength governs structural adequacy, and most datasets report only the</w:t>
      </w:r>
      <w:r>
        <w:t xml:space="preserve"> </w:t>
      </w:r>
      <w:r>
        <w:t xml:space="preserve">latter.</w:t>
      </w:r>
    </w:p>
    <w:p>
      <w:pPr>
        <w:pStyle w:val="BodyText"/>
      </w:pPr>
      <w:r>
        <w:rPr>
          <w:b/>
          <w:bCs/>
        </w:rPr>
        <w:t xml:space="preserve">5.6 Documented trade-offs.</w:t>
      </w:r>
      <w:r>
        <w:t xml:space="preserve"> </w:t>
      </w:r>
      <w:r>
        <w:t xml:space="preserve">Two further choices are deliberate departures from convention.</w:t>
      </w:r>
      <w:r>
        <w:t xml:space="preserve"> </w:t>
      </w:r>
      <w:r>
        <w:rPr>
          <w:i/>
          <w:iCs/>
        </w:rPr>
        <w:t xml:space="preserve">Fineness modulus over maximum aggregate size:</w:t>
      </w:r>
      <w:r>
        <w:t xml:space="preserve"> </w:t>
      </w:r>
      <w:r>
        <w:t xml:space="preserve">because 3DCP uses only fine aggregate (constrained by</w:t>
      </w:r>
      <w:r>
        <w:t xml:space="preserve"> </w:t>
      </w:r>
      <w:r>
        <w:t xml:space="preserve">pump and nozzle, generally below 4 mm), Open3DCP classifies sand by</w:t>
      </w:r>
      <w:r>
        <w:t xml:space="preserve"> </w:t>
      </w:r>
      <w:r>
        <w:rPr>
          <w:b/>
          <w:bCs/>
        </w:rPr>
        <w:t xml:space="preserve">fineness modulus</w:t>
      </w:r>
      <w:r>
        <w:t xml:space="preserve"> </w:t>
      </w:r>
      <w:r>
        <w:t xml:space="preserve">(FM — the summed cumulative mass-percent retained on the standard</w:t>
      </w:r>
      <w:r>
        <w:t xml:space="preserve"> </w:t>
      </w:r>
      <w:r>
        <w:t xml:space="preserve">sieve series, divided by 100; a single index of overall fineness), which is more discriminating than</w:t>
      </w:r>
      <w:r>
        <w:t xml:space="preserve"> </w:t>
      </w:r>
      <w:r>
        <w:t xml:space="preserve">maximum particle size for the fine aggregate (well below the 4.75 mm sand boundary, often under ~4 mm)</w:t>
      </w:r>
      <w:r>
        <w:t xml:space="preserve"> </w:t>
      </w:r>
      <w:r>
        <w:t xml:space="preserve">that printing uses — two sands of equal maximum size can have very different gradations and packing. Trade</w:t>
      </w:r>
      <w:r>
        <w:t xml:space="preserve"> </w:t>
      </w:r>
      <w:r>
        <w:t xml:space="preserve">sand classes (mason / fine / concrete / coarse), mapped onto ASTM C33 grading, are one realization;</w:t>
      </w:r>
      <w:r>
        <w:t xml:space="preserve"> </w:t>
      </w:r>
      <w:r>
        <w:t xml:space="preserve">EN/ISO grading maps onto the same field.</w:t>
      </w:r>
      <w:r>
        <w:t xml:space="preserve"> </w:t>
      </w:r>
      <w:r>
        <w:rPr>
          <w:i/>
          <w:iCs/>
        </w:rPr>
        <w:t xml:space="preserve">SCM reactivity factors</w:t>
      </w:r>
      <w:r>
        <w:rPr>
          <w:i/>
          <w:iCs/>
        </w:rPr>
        <w:t xml:space="preserve"> </w:t>
      </w:r>
      <w:r>
        <w:rPr>
          <w:i/>
          <w:iCs/>
        </w:rPr>
        <w:t xml:space="preserve">excluded:</w:t>
      </w:r>
      <w:r>
        <w:t xml:space="preserve"> </w:t>
      </w:r>
      <w:r>
        <w:t xml:space="preserve">the</w:t>
      </w:r>
      <w:r>
        <w:t xml:space="preserve"> </w:t>
      </w:r>
      <w:r>
        <w:t xml:space="preserve">schema stores what was weighed — the mass of each SCM — and leaves reactivity estimation to downstream</w:t>
      </w:r>
      <w:r>
        <w:t xml:space="preserve"> </w:t>
      </w:r>
      <w:r>
        <w:t xml:space="preserve">feature engineering, because reactivity factors are modeling decisions, not raw data.</w:t>
      </w:r>
    </w:p>
    <w:bookmarkEnd w:id="14"/>
    <w:bookmarkStart w:id="30" w:name="what-v1.7.5-records"/>
    <w:p>
      <w:pPr>
        <w:pStyle w:val="Heading2"/>
      </w:pPr>
      <w:r>
        <w:t xml:space="preserve">6. What v1.7.5 records</w:t>
      </w:r>
    </w:p>
    <w:p>
      <w:pPr>
        <w:pStyle w:val="FirstParagraph"/>
      </w:pPr>
      <w:r>
        <w:t xml:space="preserve">Open3DCP v1.7.5 defines 248 columns in its primary</w:t>
      </w:r>
      <w:r>
        <w:t xml:space="preserve"> </w:t>
      </w:r>
      <w:r>
        <w:rPr>
          <w:rStyle w:val="VerbatimChar"/>
        </w:rPr>
        <w:t xml:space="preserve">mix_designs</w:t>
      </w:r>
      <w:r>
        <w:t xml:space="preserve"> </w:t>
      </w:r>
      <w:r>
        <w:t xml:space="preserve">record (companion tables —</w:t>
      </w:r>
      <w:r>
        <w:t xml:space="preserve"> </w:t>
      </w:r>
      <w:r>
        <w:rPr>
          <w:rStyle w:val="VerbatimChar"/>
        </w:rPr>
        <w:t xml:space="preserve">strength_measurements</w:t>
      </w:r>
      <w:r>
        <w:t xml:space="preserve">,</w:t>
      </w:r>
      <w:r>
        <w:t xml:space="preserve"> </w:t>
      </w:r>
      <w:r>
        <w:rPr>
          <w:rStyle w:val="VerbatimChar"/>
        </w:rPr>
        <w:t xml:space="preserve">sources</w:t>
      </w:r>
      <w:r>
        <w:t xml:space="preserve">,</w:t>
      </w:r>
      <w:r>
        <w:t xml:space="preserve"> </w:t>
      </w:r>
      <w:r>
        <w:rPr>
          <w:rStyle w:val="VerbatimChar"/>
        </w:rPr>
        <w:t xml:space="preserve">test_methods</w:t>
      </w:r>
      <w:r>
        <w:t xml:space="preserve">,</w:t>
      </w:r>
      <w:r>
        <w:t xml:space="preserve"> </w:t>
      </w:r>
      <w:r>
        <w:rPr>
          <w:rStyle w:val="VerbatimChar"/>
        </w:rPr>
        <w:t xml:space="preserve">curing_regimes</w:t>
      </w:r>
      <w:r>
        <w:t xml:space="preserve">,</w:t>
      </w:r>
      <w:r>
        <w:t xml:space="preserve"> </w:t>
      </w:r>
      <w:r>
        <w:rPr>
          <w:rStyle w:val="VerbatimChar"/>
        </w:rPr>
        <w:t xml:space="preserve">material_aliases</w:t>
      </w:r>
      <w:r>
        <w:t xml:space="preserve"> </w:t>
      </w:r>
      <w:r>
        <w:t xml:space="preserve">— add linked</w:t>
      </w:r>
      <w:r>
        <w:t xml:space="preserve"> </w:t>
      </w:r>
      <w:r>
        <w:t xml:space="preserve">rows and are not in this count). Figure 1 places the columns in the ICME chain; Figure 2 inventories</w:t>
      </w:r>
      <w:r>
        <w:t xml:space="preserve"> </w:t>
      </w:r>
      <w:r>
        <w:t xml:space="preserve">them under a</w:t>
      </w:r>
      <w:r>
        <w:t xml:space="preserve"> </w:t>
      </w:r>
      <w:r>
        <w:rPr>
          <w:b/>
          <w:bCs/>
        </w:rPr>
        <w:t xml:space="preserve">Composition–Processing–Conditions–Properties–Provenance (CPPC)</w:t>
      </w:r>
      <w:r>
        <w:t xml:space="preserve"> </w:t>
      </w:r>
      <w:r>
        <w:t xml:space="preserve">view — a</w:t>
      </w:r>
      <w:r>
        <w:t xml:space="preserve"> </w:t>
      </w:r>
      <w:r>
        <w:t xml:space="preserve">reporting-oriented refinement of the ICME process–structure–property chain that adds explicit Conditions</w:t>
      </w:r>
      <w:r>
        <w:t xml:space="preserve"> </w:t>
      </w:r>
      <w:r>
        <w:t xml:space="preserve">and Provenance legs, not a competing standard. The canonical column-by-column specification is the</w:t>
      </w:r>
      <w:r>
        <w:t xml:space="preserve"> </w:t>
      </w:r>
      <w:r>
        <w:t xml:space="preserve">repository’s</w:t>
      </w:r>
      <w:r>
        <w:t xml:space="preserve"> </w:t>
      </w:r>
      <w:r>
        <w:rPr>
          <w:rStyle w:val="VerbatimChar"/>
        </w:rPr>
        <w:t xml:space="preserve">Open3DCP_SCHEMA.md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sql/create_tables.sql</w:t>
      </w:r>
      <w:r>
        <w:t xml:space="preserve">; this section summarizes the categories.</w:t>
      </w:r>
    </w:p>
    <w:p>
      <w:pPr>
        <w:pStyle w:val="BodyText"/>
      </w:pPr>
      <w:r>
        <w:t xml:space="preserve">The 248 is best read as a</w:t>
      </w:r>
      <w:r>
        <w:t xml:space="preserve"> </w:t>
      </w:r>
      <w:r>
        <w:rPr>
          <w:i/>
          <w:iCs/>
        </w:rPr>
        <w:t xml:space="preserve">vocabulary</w:t>
      </w:r>
      <w:r>
        <w:t xml:space="preserve">, not a per-record dimensionality. It enumerates every reportable</w:t>
      </w:r>
      <w:r>
        <w:t xml:space="preserve"> </w:t>
      </w:r>
      <w:r>
        <w:t xml:space="preserve">field — each cement type, each aggregate size, each fiber, each durability test is its own column — so a</w:t>
      </w:r>
      <w:r>
        <w:t xml:space="preserve"> </w:t>
      </w:r>
      <w:r>
        <w:t xml:space="preserve">typical record leaves most columns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(the schema is sparse by design). Only four columns are</w:t>
      </w:r>
      <w:r>
        <w:t xml:space="preserve"> </w:t>
      </w:r>
      <w:r>
        <w:t xml:space="preserve">computed from others (</w:t>
      </w:r>
      <w:r>
        <w:rPr>
          <w:rStyle w:val="VerbatimChar"/>
        </w:rPr>
        <w:t xml:space="preserve">w_c_ratio</w:t>
      </w:r>
      <w:r>
        <w:t xml:space="preserve">,</w:t>
      </w:r>
      <w:r>
        <w:t xml:space="preserve"> </w:t>
      </w:r>
      <w:r>
        <w:rPr>
          <w:rStyle w:val="VerbatimChar"/>
        </w:rPr>
        <w:t xml:space="preserve">w_b_ratio</w:t>
      </w:r>
      <w:r>
        <w:t xml:space="preserve">,</w:t>
      </w:r>
      <w:r>
        <w:t xml:space="preserve"> </w:t>
      </w:r>
      <w:r>
        <w:rPr>
          <w:rStyle w:val="VerbatimChar"/>
        </w:rPr>
        <w:t xml:space="preserve">a_b_ratio</w:t>
      </w:r>
      <w:r>
        <w:t xml:space="preserve">,</w:t>
      </w:r>
      <w:r>
        <w:t xml:space="preserve"> </w:t>
      </w:r>
      <w:r>
        <w:rPr>
          <w:rStyle w:val="VerbatimChar"/>
        </w:rPr>
        <w:t xml:space="preserve">fiber_aspect_ratio</w:t>
      </w:r>
      <w:r>
        <w:t xml:space="preserve">); the rest are</w:t>
      </w:r>
      <w:r>
        <w:t xml:space="preserve"> </w:t>
      </w:r>
      <w:r>
        <w:t xml:space="preserve">independent recorded fields, with five carrying measurement uncertainty, five referencing external</w:t>
      </w:r>
      <w:r>
        <w:t xml:space="preserve"> </w:t>
      </w:r>
      <w:r>
        <w:t xml:space="preserve">files, and the remainder provenance/identity metadata (Figure 4). About three in four columns describe</w:t>
      </w:r>
      <w:r>
        <w:t xml:space="preserve"> </w:t>
      </w:r>
      <w:r>
        <w:t xml:space="preserve">material and performance properties shared with conventional cast concrete; the printing-process and</w:t>
      </w:r>
      <w:r>
        <w:t xml:space="preserve"> </w:t>
      </w:r>
      <w:r>
        <w:t xml:space="preserve">interlayer columns are the additive, 3DCP-specific part (Figure 3).</w:t>
      </w:r>
    </w:p>
    <w:p>
      <w:pPr>
        <w:pStyle w:val="CaptionedFigure"/>
      </w:pPr>
      <w:r>
        <w:drawing>
          <wp:inline>
            <wp:extent cx="5334000" cy="2741688"/>
            <wp:effectExtent b="0" l="0" r="0" t="0"/>
            <wp:docPr descr="Open3DCP records the full ICME chain — composition, processing, structure/state, properties, and provenance — for one specimen in a single flat, analysis-ready row. The schema is the substrate for ICME-style process–structure–property analysis: it preserves the inputs and outcomes of a printed experiment without joins or file parsing." title="" id="16" name="Picture"/>
            <a:graphic>
              <a:graphicData uri="http://schemas.openxmlformats.org/drawingml/2006/picture">
                <pic:pic>
                  <pic:nvPicPr>
                    <pic:cNvPr descr="figures/fig1_cppc_chain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41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Open3DCP records the full ICME chain — composition, processing, structure/state, properties, and provenance — for one specimen in a single flat, analysis-ready row. The schema is the substrate for ICME-style process–structure–property analysis: it preserves the inputs and outcomes of a printed experiment without joins or file parsing.</w:t>
      </w:r>
    </w:p>
    <w:p>
      <w:pPr>
        <w:pStyle w:val="CaptionedFigure"/>
      </w:pPr>
      <w:r>
        <w:drawing>
          <wp:inline>
            <wp:extent cx="5120640" cy="2600500"/>
            <wp:effectExtent b="0" l="0" r="0" t="0"/>
            <wp:docPr descr="The 248 columns of Open3DCP v1.7.5 mapped to the CPPC framework. Counts are parsed from sql/create_tables.sql, the schema’s source of truth. Composition (95): binders, SCMs, activators, aggregates, fibers, admixtures, pigments, water, ratios, aggregate conditioning, basis and unspecified-constituent columns. Properties (86): fresh-state, mechanical, interlayer bond, durability, thermal, microstructure. Processing (27): 3DCP process parameters, pumping, mixing. Conditions (24): test conditions / specimen, environment, exposure class. Provenance (16): identity / versioning, source DOI, quality flags." title="" id="19" name="Picture"/>
            <a:graphic>
              <a:graphicData uri="http://schemas.openxmlformats.org/drawingml/2006/picture">
                <pic:pic>
                  <pic:nvPicPr>
                    <pic:cNvPr descr="figures/fig2_column_inventory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6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The 248 columns of Open3DCP v1.7.5 mapped to the CPPC framework. Counts are parsed from</w:t>
      </w:r>
      <w:r>
        <w:t xml:space="preserve"> </w:t>
      </w:r>
      <w:r>
        <w:rPr>
          <w:rStyle w:val="VerbatimChar"/>
        </w:rPr>
        <w:t xml:space="preserve">sql/create_tables.sql</w:t>
      </w:r>
      <w:r>
        <w:t xml:space="preserve">, the schema’s source of truth.</w:t>
      </w:r>
      <w:r>
        <w:t xml:space="preserve"> </w:t>
      </w:r>
      <w:r>
        <w:rPr>
          <w:i/>
          <w:iCs/>
        </w:rPr>
        <w:t xml:space="preserve">Composition</w:t>
      </w:r>
      <w:r>
        <w:t xml:space="preserve"> </w:t>
      </w:r>
      <w:r>
        <w:t xml:space="preserve">(95): binders, SCMs, activators, aggregates, fibers, admixtures, pigments, water, ratios, aggregate conditioning, basis and unspecified-constituent columns.</w:t>
      </w:r>
      <w:r>
        <w:t xml:space="preserve"> </w:t>
      </w:r>
      <w:r>
        <w:rPr>
          <w:i/>
          <w:iCs/>
        </w:rPr>
        <w:t xml:space="preserve">Properties</w:t>
      </w:r>
      <w:r>
        <w:t xml:space="preserve"> </w:t>
      </w:r>
      <w:r>
        <w:t xml:space="preserve">(86): fresh-state, mechanical, interlayer bond, durability, thermal, microstructure.</w:t>
      </w:r>
      <w:r>
        <w:t xml:space="preserve"> </w:t>
      </w:r>
      <w:r>
        <w:rPr>
          <w:i/>
          <w:iCs/>
        </w:rPr>
        <w:t xml:space="preserve">Processing</w:t>
      </w:r>
      <w:r>
        <w:t xml:space="preserve"> </w:t>
      </w:r>
      <w:r>
        <w:t xml:space="preserve">(27): 3DCP process parameters, pumping, mixing.</w:t>
      </w:r>
      <w:r>
        <w:t xml:space="preserve"> </w:t>
      </w:r>
      <w:r>
        <w:rPr>
          <w:i/>
          <w:iCs/>
        </w:rPr>
        <w:t xml:space="preserve">Conditions</w:t>
      </w:r>
      <w:r>
        <w:t xml:space="preserve"> </w:t>
      </w:r>
      <w:r>
        <w:t xml:space="preserve">(24): test conditions / specimen, environment, exposure class.</w:t>
      </w:r>
      <w:r>
        <w:t xml:space="preserve"> </w:t>
      </w:r>
      <w:r>
        <w:rPr>
          <w:i/>
          <w:iCs/>
        </w:rPr>
        <w:t xml:space="preserve">Provenance</w:t>
      </w:r>
      <w:r>
        <w:t xml:space="preserve"> </w:t>
      </w:r>
      <w:r>
        <w:t xml:space="preserve">(16): identity / versioning, source DOI, quality flags.</w:t>
      </w:r>
    </w:p>
    <w:p>
      <w:pPr>
        <w:pStyle w:val="CaptionedFigure"/>
      </w:pPr>
      <w:r>
        <w:drawing>
          <wp:inline>
            <wp:extent cx="5334000" cy="3794729"/>
            <wp:effectExtent b="0" l="0" r="0" t="0"/>
            <wp:docPr descr="What is specific to 3D concrete printing, and what it shares with conventional concrete. Of the 248 columns, ~187 describe composition and performance properties shared with cast concrete (and therefore crosswalk to a relational concrete database); ~39 are specific to extrusion 3DCP (printing process, pumping, interlayer bond, printing-state rheology) with no conventional-concrete counterpart; the remaining ~22 are provenance. (This is a different cut of the same 248 than the CPPC inventory in Figure 2 — by origin rather than reporting role — and also sums to 248.) The amber annex lists extrusion-process inputs identified but not yet captured — a future-work agenda." title="" id="22" name="Picture"/>
            <a:graphic>
              <a:graphicData uri="http://schemas.openxmlformats.org/drawingml/2006/picture">
                <pic:pic>
                  <pic:nvPicPr>
                    <pic:cNvPr descr="figures/fig3_data_classes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94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What is specific to 3D concrete printing, and what it shares with conventional concrete. Of the 248 columns, ~187 describe composition and performance properties shared with cast concrete (and therefore crosswalk to a relational concrete database); ~39 are specific to extrusion 3DCP (printing process, pumping, interlayer bond, printing-state rheology) with no conventional-concrete counterpart; the remaining ~22 are provenance. (This is a different cut of the same 248 than the CPPC inventory in Figure 2 — by origin rather than reporting role — and also sums to 248.) The amber annex lists extrusion-process inputs identified but not yet captured — a future-work agenda.</w:t>
      </w:r>
    </w:p>
    <w:p>
      <w:pPr>
        <w:pStyle w:val="CaptionedFigure"/>
      </w:pPr>
      <w:r>
        <w:drawing>
          <wp:inline>
            <wp:extent cx="5303520" cy="4142165"/>
            <wp:effectExtent b="0" l="0" r="0" t="0"/>
            <wp:docPr descr="Schema growth has stabilized (top): the tagged releases since v1.5 added +8 columns (an SCM per-grade split, later consolidated away in 1.6.5), a net +12 to reach 244 (−8 from that consolidation, +20 interoperability, uncertainty, and convenience fields), and +4 to reach 248 (the v1.7.5 unspecified-constituent and basis columns — preserve, don’t presume). Composition of the 248 (bottom): only four columns are derived from others, so the count is a sparse measured vocabulary — the union of every reportable field, most NULL in any record — not 248 independent measurements. Only the git-tagged releases (v1.5–v1.7.5) carry exact counts; v1.0 is the changelog’s stated first-release figure (~175). The 248 are data columns, excluding the SERIAL primary key." title="" id="25" name="Picture"/>
            <a:graphic>
              <a:graphicData uri="http://schemas.openxmlformats.org/drawingml/2006/picture">
                <pic:pic>
                  <pic:nvPicPr>
                    <pic:cNvPr descr="figures/fig4_schema_growth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41421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Schema growth has stabilized (top): the tagged releases since v1.5 added +8 columns (an SCM per-grade split, later consolidated away in 1.6.5), a net +12 to reach 244 (−8 from that consolidation, +20 interoperability, uncertainty, and convenience fields), and +4 to reach 248 (the v1.7.5 unspecified-constituent and basis columns — preserve, don’t presume). Composition of the 248 (bottom): only four columns are derived from others, so the count is a sparse measured vocabulary — the union of every reportable field, most NULL in any record — not 248 independent measurements. Only the git-tagged releases (v1.5–v1.7.5) carry exact counts; v1.0 is the changelog’s stated first-release figure (~175). The 248 are data columns, excluding the SERIAL primary key.</w:t>
      </w:r>
    </w:p>
    <w:p>
      <w:pPr>
        <w:pStyle w:val="BodyText"/>
      </w:pPr>
      <w:r>
        <w:rPr>
          <w:b/>
          <w:bCs/>
        </w:rPr>
        <w:t xml:space="preserve">Composition.</w:t>
      </w:r>
      <w:r>
        <w:t xml:space="preserve"> </w:t>
      </w:r>
      <w:r>
        <w:t xml:space="preserve">Portland and blended cements, calcium-aluminate and calcium-sulfoaluminate cements,</w:t>
      </w:r>
      <w:r>
        <w:t xml:space="preserve"> </w:t>
      </w:r>
      <w:r>
        <w:t xml:space="preserve">fly ash (generic, Class F, Class C as separate columns per ASTM C618 oxide-sum classification), slag,</w:t>
      </w:r>
      <w:r>
        <w:t xml:space="preserve"> </w:t>
      </w:r>
      <w:r>
        <w:t xml:space="preserve">silica fume, metakaolin, limestone, pumice, bottom ash, rice-husk ash, alkali activators, nanoscale</w:t>
      </w:r>
      <w:r>
        <w:t xml:space="preserve"> </w:t>
      </w:r>
      <w:r>
        <w:t xml:space="preserve">modifiers, mineral powders, recycled sand, pigments, aggregates, fibers, admixtures, clay rheology</w:t>
      </w:r>
      <w:r>
        <w:t xml:space="preserve"> </w:t>
      </w:r>
      <w:r>
        <w:t xml:space="preserve">modifiers, water, and derived ratios. The schema preserves chemically meaningful distinctions rather</w:t>
      </w:r>
      <w:r>
        <w:t xml:space="preserve"> </w:t>
      </w:r>
      <w:r>
        <w:t xml:space="preserve">than collapsing all cementitious material into a single</w:t>
      </w:r>
      <w:r>
        <w:t xml:space="preserve"> </w:t>
      </w:r>
      <w:r>
        <w:t xml:space="preserve">“binder”</w:t>
      </w:r>
      <w:r>
        <w:t xml:space="preserve"> </w:t>
      </w:r>
      <w:r>
        <w:t xml:space="preserve">field, because fly-ash class, slag,</w:t>
      </w:r>
      <w:r>
        <w:t xml:space="preserve"> </w:t>
      </w:r>
      <w:r>
        <w:t xml:space="preserve">silica fume, limestone, and metakaolin are not interchangeable in hydration, packing, rheology, or</w:t>
      </w:r>
      <w:r>
        <w:t xml:space="preserve"> </w:t>
      </w:r>
      <w:r>
        <w:t xml:space="preserve">long-term performance.</w:t>
      </w:r>
    </w:p>
    <w:p>
      <w:pPr>
        <w:pStyle w:val="BodyText"/>
      </w:pPr>
      <w:r>
        <w:rPr>
          <w:b/>
          <w:bCs/>
        </w:rPr>
        <w:t xml:space="preserve">Fibers.</w:t>
      </w:r>
      <w:r>
        <w:t xml:space="preserve"> </w:t>
      </w:r>
      <w:r>
        <w:t xml:space="preserve">Eight core families —</w:t>
      </w:r>
      <w:r>
        <w:t xml:space="preserve"> </w:t>
      </w:r>
      <w:r>
        <w:rPr>
          <w:rStyle w:val="VerbatimChar"/>
        </w:rPr>
        <w:t xml:space="preserve">steel_fiber</w:t>
      </w:r>
      <w:r>
        <w:t xml:space="preserve">,</w:t>
      </w:r>
      <w:r>
        <w:t xml:space="preserve"> </w:t>
      </w:r>
      <w:r>
        <w:rPr>
          <w:rStyle w:val="VerbatimChar"/>
        </w:rPr>
        <w:t xml:space="preserve">pp_fiber</w:t>
      </w:r>
      <w:r>
        <w:t xml:space="preserve">,</w:t>
      </w:r>
      <w:r>
        <w:t xml:space="preserve"> </w:t>
      </w:r>
      <w:r>
        <w:rPr>
          <w:rStyle w:val="VerbatimChar"/>
        </w:rPr>
        <w:t xml:space="preserve">pva_fiber</w:t>
      </w:r>
      <w:r>
        <w:t xml:space="preserve">,</w:t>
      </w:r>
      <w:r>
        <w:t xml:space="preserve"> </w:t>
      </w:r>
      <w:r>
        <w:rPr>
          <w:rStyle w:val="VerbatimChar"/>
        </w:rPr>
        <w:t xml:space="preserve">glass_fiber</w:t>
      </w:r>
      <w:r>
        <w:t xml:space="preserve">,</w:t>
      </w:r>
      <w:r>
        <w:t xml:space="preserve"> </w:t>
      </w:r>
      <w:r>
        <w:rPr>
          <w:rStyle w:val="VerbatimChar"/>
        </w:rPr>
        <w:t xml:space="preserve">basalt_fiber</w:t>
      </w:r>
      <w:r>
        <w:t xml:space="preserve">,</w:t>
      </w:r>
      <w:r>
        <w:t xml:space="preserve"> </w:t>
      </w:r>
      <w:r>
        <w:rPr>
          <w:rStyle w:val="VerbatimChar"/>
        </w:rPr>
        <w:t xml:space="preserve">carbon_fiber</w:t>
      </w:r>
      <w:r>
        <w:t xml:space="preserve">,</w:t>
      </w:r>
      <w:r>
        <w:t xml:space="preserve"> </w:t>
      </w:r>
      <w:r>
        <w:rPr>
          <w:rStyle w:val="VerbatimChar"/>
        </w:rPr>
        <w:t xml:space="preserve">nylon_fiber</w:t>
      </w:r>
      <w:r>
        <w:t xml:space="preserve">,</w:t>
      </w:r>
      <w:r>
        <w:t xml:space="preserve"> </w:t>
      </w:r>
      <w:r>
        <w:rPr>
          <w:rStyle w:val="VerbatimChar"/>
        </w:rPr>
        <w:t xml:space="preserve">aramid_fiber</w:t>
      </w:r>
      <w:r>
        <w:t xml:space="preserve"> </w:t>
      </w:r>
      <w:r>
        <w:t xml:space="preserve">— plus</w:t>
      </w:r>
      <w:r>
        <w:t xml:space="preserve"> </w:t>
      </w:r>
      <w:r>
        <w:rPr>
          <w:rStyle w:val="VerbatimChar"/>
        </w:rPr>
        <w:t xml:space="preserve">cellulose_fiber</w:t>
      </w:r>
      <w:r>
        <w:t xml:space="preserve"> </w:t>
      </w:r>
      <w:r>
        <w:t xml:space="preserve">for natural-fiber</w:t>
      </w:r>
      <w:r>
        <w:t xml:space="preserve"> </w:t>
      </w:r>
      <w:r>
        <w:t xml:space="preserve">compatibility (relevant to emerging 3DCP wall-qualification frameworks such as ICC 1150 [47]), with</w:t>
      </w:r>
      <w:r>
        <w:t xml:space="preserve"> </w:t>
      </w:r>
      <w:r>
        <w:t xml:space="preserve">geometry captured separately (</w:t>
      </w:r>
      <w:r>
        <w:rPr>
          <w:rStyle w:val="VerbatimChar"/>
        </w:rPr>
        <w:t xml:space="preserve">fiber_length_mm</w:t>
      </w:r>
      <w:r>
        <w:t xml:space="preserve">,</w:t>
      </w:r>
      <w:r>
        <w:t xml:space="preserve"> </w:t>
      </w:r>
      <w:r>
        <w:rPr>
          <w:rStyle w:val="VerbatimChar"/>
        </w:rPr>
        <w:t xml:space="preserve">fiber_diameter_mm</w:t>
      </w:r>
      <w:r>
        <w:t xml:space="preserve">,</w:t>
      </w:r>
      <w:r>
        <w:t xml:space="preserve"> </w:t>
      </w:r>
      <w:r>
        <w:rPr>
          <w:rStyle w:val="VerbatimChar"/>
        </w:rPr>
        <w:t xml:space="preserve">fiber_aspect_ratio</w:t>
      </w:r>
      <w:r>
        <w:t xml:space="preserve">,</w:t>
      </w:r>
      <w:r>
        <w:t xml:space="preserve"> </w:t>
      </w:r>
      <w:r>
        <w:rPr>
          <w:rStyle w:val="VerbatimChar"/>
        </w:rPr>
        <w:t xml:space="preserve">fiber_tensile_strength_mpa</w:t>
      </w:r>
      <w:r>
        <w:t xml:space="preserve">). Aspect ratio is the single</w:t>
      </w:r>
      <w:r>
        <w:t xml:space="preserve"> </w:t>
      </w:r>
      <w:r>
        <w:t xml:space="preserve">strongest predictor of fiber contribution to post-crack toughness and is rarely derivable from papers</w:t>
      </w:r>
      <w:r>
        <w:t xml:space="preserve"> </w:t>
      </w:r>
      <w:r>
        <w:t xml:space="preserve">that report only type and dosage.</w:t>
      </w:r>
    </w:p>
    <w:p>
      <w:pPr>
        <w:pStyle w:val="BodyText"/>
      </w:pPr>
      <w:r>
        <w:rPr>
          <w:b/>
          <w:bCs/>
        </w:rPr>
        <w:t xml:space="preserve">Fresh-state and rheology.</w:t>
      </w:r>
      <w:r>
        <w:t xml:space="preserve"> </w:t>
      </w:r>
      <w:r>
        <w:t xml:space="preserve">Slump, spread, J-ring, V-funnel, L-box, setting times, air content,</w:t>
      </w:r>
      <w:r>
        <w:t xml:space="preserve"> </w:t>
      </w:r>
      <w:r>
        <w:t xml:space="preserve">fresh unit weight, bleeding, yield stress (static and dynamic), plastic viscosity, thixotropy /</w:t>
      </w:r>
      <w:r>
        <w:t xml:space="preserve"> </w:t>
      </w:r>
      <w:r>
        <w:t xml:space="preserve">structuration rate, open time, and green strength. Printability is not a single property: pumpability,</w:t>
      </w:r>
      <w:r>
        <w:t xml:space="preserve"> </w:t>
      </w:r>
      <w:r>
        <w:t xml:space="preserve">extrudability, shape stability, and open time can move in different directions as water,</w:t>
      </w:r>
      <w:r>
        <w:t xml:space="preserve"> </w:t>
      </w:r>
      <w:r>
        <w:t xml:space="preserve">superplasticizer, VMA, accelerator, grading, and ambient conditions change.</w:t>
      </w:r>
    </w:p>
    <w:p>
      <w:pPr>
        <w:pStyle w:val="BodyText"/>
      </w:pPr>
      <w:r>
        <w:rPr>
          <w:b/>
          <w:bCs/>
        </w:rPr>
        <w:t xml:space="preserve">Process parameters.</w:t>
      </w:r>
      <w:r>
        <w:t xml:space="preserve"> </w:t>
      </w:r>
      <w:r>
        <w:t xml:space="preserve">Print speed, layer height and width, layer time gap, nozzle diameter / shape /</w:t>
      </w:r>
      <w:r>
        <w:t xml:space="preserve"> </w:t>
      </w:r>
      <w:r>
        <w:t xml:space="preserve">area, filament width, extrusion rate, number of layers, path length, infill pattern, contour count,</w:t>
      </w:r>
      <w:r>
        <w:t xml:space="preserve"> </w:t>
      </w:r>
      <w:r>
        <w:t xml:space="preserve">print direction, and pumping/mixing/environmental conditions — the processing leg of the ICME chain,</w:t>
      </w:r>
      <w:r>
        <w:t xml:space="preserve"> </w:t>
      </w:r>
      <w:r>
        <w:t xml:space="preserve">absent from prior concrete datasets. The process columns and their typical downstream outcomes are</w:t>
      </w:r>
      <w:r>
        <w:t xml:space="preserve"> </w:t>
      </w:r>
      <w:r>
        <w:t xml:space="preserve">specified in the repository.</w:t>
      </w:r>
    </w:p>
    <w:p>
      <w:pPr>
        <w:pStyle w:val="BodyText"/>
      </w:pPr>
      <w:r>
        <w:rPr>
          <w:b/>
          <w:bCs/>
        </w:rPr>
        <w:t xml:space="preserve">Specimen and test context.</w:t>
      </w:r>
      <w:r>
        <w:t xml:space="preserve"> </w:t>
      </w:r>
      <w:r>
        <w:t xml:space="preserve">Specimen preparation, geometry, dimensions, extraction method, curing</w:t>
      </w:r>
      <w:r>
        <w:t xml:space="preserve"> </w:t>
      </w:r>
      <w:r>
        <w:t xml:space="preserve">conditions, test age, test method, number of specimens averaged, and</w:t>
      </w:r>
      <w:r>
        <w:t xml:space="preserve"> </w:t>
      </w:r>
      <w:r>
        <w:rPr>
          <w:b/>
          <w:bCs/>
        </w:rPr>
        <w:t xml:space="preserve">test orientation</w:t>
      </w:r>
      <w:r>
        <w:t xml:space="preserve"> </w:t>
      </w:r>
      <w:r>
        <w:t xml:space="preserve">— especially</w:t>
      </w:r>
      <w:r>
        <w:t xml:space="preserve"> </w:t>
      </w:r>
      <w:r>
        <w:t xml:space="preserve">important because printed concrete is anisotropic. Orientation is a controlled vocabulary (Table 1).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Code</w:t>
            </w:r>
          </w:p>
        </w:tc>
        <w:tc>
          <w:tcPr/>
          <w:p>
            <w:pPr>
              <w:pStyle w:val="Compact"/>
            </w:pPr>
            <w:r>
              <w:t xml:space="preserve">Axis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Typical strength*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X</w:t>
            </w:r>
          </w:p>
        </w:tc>
        <w:tc>
          <w:tcPr/>
          <w:p>
            <w:pPr>
              <w:pStyle w:val="Compact"/>
            </w:pPr>
            <w:r>
              <w:t xml:space="preserve">Longitudinal</w:t>
            </w:r>
          </w:p>
        </w:tc>
        <w:tc>
          <w:tcPr/>
          <w:p>
            <w:pPr>
              <w:pStyle w:val="Compact"/>
            </w:pPr>
            <w:r>
              <w:t xml:space="preserve">Parallel to extrusion direction (along the print path)</w:t>
            </w:r>
          </w:p>
        </w:tc>
        <w:tc>
          <w:tcPr/>
          <w:p>
            <w:pPr>
              <w:pStyle w:val="Compact"/>
            </w:pPr>
            <w:r>
              <w:t xml:space="preserve">Highest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Y</w:t>
            </w:r>
          </w:p>
        </w:tc>
        <w:tc>
          <w:tcPr/>
          <w:p>
            <w:pPr>
              <w:pStyle w:val="Compact"/>
            </w:pPr>
            <w:r>
              <w:t xml:space="preserve">Transverse</w:t>
            </w:r>
          </w:p>
        </w:tc>
        <w:tc>
          <w:tcPr/>
          <w:p>
            <w:pPr>
              <w:pStyle w:val="Compact"/>
            </w:pPr>
            <w:r>
              <w:t xml:space="preserve">Perpendicular, within layer plane</w:t>
            </w:r>
          </w:p>
        </w:tc>
        <w:tc>
          <w:tcPr/>
          <w:p>
            <w:pPr>
              <w:pStyle w:val="Compact"/>
            </w:pPr>
            <w:r>
              <w:t xml:space="preserve">Moderate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</w:t>
            </w:r>
          </w:p>
        </w:tc>
        <w:tc>
          <w:tcPr/>
          <w:p>
            <w:pPr>
              <w:pStyle w:val="Compact"/>
            </w:pPr>
            <w:r>
              <w:t xml:space="preserve">Interlayer</w:t>
            </w:r>
          </w:p>
        </w:tc>
        <w:tc>
          <w:tcPr/>
          <w:p>
            <w:pPr>
              <w:pStyle w:val="Compact"/>
            </w:pPr>
            <w:r>
              <w:t xml:space="preserve">Perpendicular to layer interfaces (build axis)</w:t>
            </w:r>
          </w:p>
        </w:tc>
        <w:tc>
          <w:tcPr/>
          <w:p>
            <w:pPr>
              <w:pStyle w:val="Compact"/>
            </w:pPr>
            <w:r>
              <w:t xml:space="preserve">Lowest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XY_45</w:t>
            </w:r>
          </w:p>
        </w:tc>
        <w:tc>
          <w:tcPr/>
          <w:p>
            <w:pPr>
              <w:pStyle w:val="Compact"/>
            </w:pPr>
            <w:r>
              <w:t xml:space="preserve">In-plane</w:t>
            </w:r>
          </w:p>
        </w:tc>
        <w:tc>
          <w:tcPr/>
          <w:p>
            <w:pPr>
              <w:pStyle w:val="Compact"/>
            </w:pPr>
            <w:r>
              <w:t xml:space="preserve">45° diagonal in layer plane</w:t>
            </w:r>
          </w:p>
        </w:tc>
        <w:tc>
          <w:tcPr/>
          <w:p>
            <w:pPr>
              <w:pStyle w:val="Compact"/>
            </w:pPr>
            <w:r>
              <w:t xml:space="preserve">X–Y intermediate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XZ_45</w:t>
            </w:r>
          </w:p>
        </w:tc>
        <w:tc>
          <w:tcPr/>
          <w:p>
            <w:pPr>
              <w:pStyle w:val="Compact"/>
            </w:pPr>
            <w:r>
              <w:t xml:space="preserve">Cross-layer</w:t>
            </w:r>
          </w:p>
        </w:tc>
        <w:tc>
          <w:tcPr/>
          <w:p>
            <w:pPr>
              <w:pStyle w:val="Compact"/>
            </w:pPr>
            <w:r>
              <w:t xml:space="preserve">45° diagonal across layers</w:t>
            </w:r>
          </w:p>
        </w:tc>
        <w:tc>
          <w:tcPr/>
          <w:p>
            <w:pPr>
              <w:pStyle w:val="Compact"/>
            </w:pPr>
            <w:r>
              <w:t xml:space="preserve">X–Z intermediate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CAST</w:t>
            </w:r>
          </w:p>
        </w:tc>
        <w:tc>
          <w:tcPr/>
          <w:p>
            <w:pPr>
              <w:pStyle w:val="Compact"/>
            </w:pPr>
            <w:r>
              <w:t xml:space="preserve">Isotropic</w:t>
            </w:r>
          </w:p>
        </w:tc>
        <w:tc>
          <w:tcPr/>
          <w:p>
            <w:pPr>
              <w:pStyle w:val="Compact"/>
            </w:pPr>
            <w:r>
              <w:t xml:space="preserve">Moulded reference specimen</w:t>
            </w:r>
          </w:p>
        </w:tc>
        <w:tc>
          <w:tcPr/>
          <w:p>
            <w:pPr>
              <w:pStyle w:val="Compact"/>
            </w:pPr>
            <w:r>
              <w:t xml:space="preserve">Baseline</w:t>
            </w:r>
          </w:p>
        </w:tc>
      </w:tr>
    </w:tbl>
    <w:p>
      <w:pPr>
        <w:pStyle w:val="BodyText"/>
      </w:pPr>
      <w:r>
        <w:t xml:space="preserve">* Indicative ordering for</w:t>
      </w:r>
      <w:r>
        <w:t xml:space="preserve"> </w:t>
      </w:r>
      <w:r>
        <w:rPr>
          <w:b/>
          <w:bCs/>
        </w:rPr>
        <w:t xml:space="preserve">axial (compressive) loading</w:t>
      </w:r>
      <w:r>
        <w:t xml:space="preserve">, and mix-dependent. In</w:t>
      </w:r>
      <w:r>
        <w:t xml:space="preserve"> </w:t>
      </w:r>
      <w:r>
        <w:rPr>
          <w:b/>
          <w:bCs/>
        </w:rPr>
        <w:t xml:space="preserve">flexure</w:t>
      </w:r>
      <w:r>
        <w:t xml:space="preserve"> </w:t>
      </w:r>
      <w:r>
        <w:t xml:space="preserve">the ordering</w:t>
      </w:r>
      <w:r>
        <w:t xml:space="preserve"> </w:t>
      </w:r>
      <w:r>
        <w:t xml:space="preserve">can invert: loading along the print path (</w:t>
      </w:r>
      <w:r>
        <w:rPr>
          <w:rStyle w:val="VerbatimChar"/>
        </w:rPr>
        <w:t xml:space="preserve">X</w:t>
      </w:r>
      <w:r>
        <w:t xml:space="preserve">) bends the interlayer planes in tension, so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t xml:space="preserve">is typically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weakest</w:t>
      </w:r>
      <w:r>
        <w:t xml:space="preserve"> </w:t>
      </w:r>
      <w:r>
        <w:t xml:space="preserve">flexural orientation — exactly what the worked demonstration measures (§6).</w:t>
      </w:r>
    </w:p>
    <w:p>
      <w:pPr>
        <w:pStyle w:val="BodyText"/>
      </w:pPr>
      <w:r>
        <w:t xml:space="preserve">Table: Test-orientation controlled vocabulary. Strength ordering is typical; specific</w:t>
      </w:r>
      <w:r>
        <w:t xml:space="preserve"> </w:t>
      </w:r>
      <w:r>
        <w:t xml:space="preserve">values depend on mix design and process parameters [5, 6].</w:t>
      </w:r>
    </w:p>
    <w:p>
      <w:pPr>
        <w:pStyle w:val="BodyText"/>
      </w:pPr>
      <w:r>
        <w:rPr>
          <w:b/>
          <w:bCs/>
        </w:rPr>
        <w:t xml:space="preserve">Hardened, durability, and interlayer.</w:t>
      </w:r>
      <w:r>
        <w:t xml:space="preserve"> </w:t>
      </w:r>
      <w:r>
        <w:t xml:space="preserve">Compressive, tensile, splitting tensile, flexural, modulus,</w:t>
      </w:r>
      <w:r>
        <w:t xml:space="preserve"> </w:t>
      </w:r>
      <w:r>
        <w:t xml:space="preserve">bond, fracture energy, toughness, impact, fatigue, density, and Poisson’s ratio; a durability suite</w:t>
      </w:r>
      <w:r>
        <w:t xml:space="preserve"> </w:t>
      </w:r>
      <w:r>
        <w:t xml:space="preserve">covering chloride transport, carbonation, shrinkage, creep, freeze–thaw, sulfate and ASR expansion,</w:t>
      </w:r>
      <w:r>
        <w:t xml:space="preserve"> </w:t>
      </w:r>
      <w:r>
        <w:t xml:space="preserve">permeability, absorption, sorptivity, scaling, corrosion indicators, thermal properties, and fire</w:t>
      </w:r>
      <w:r>
        <w:t xml:space="preserve"> </w:t>
      </w:r>
      <w:r>
        <w:t xml:space="preserve">resistance; and interlayer columns for bond, shear, void-area fraction, deposited air content, surface</w:t>
      </w:r>
      <w:r>
        <w:t xml:space="preserve"> </w:t>
      </w:r>
      <w:r>
        <w:t xml:space="preserve">roughness, surface moisture state, and surface treatment. The schema does not assert that every dataset</w:t>
      </w:r>
      <w:r>
        <w:t xml:space="preserve"> </w:t>
      </w:r>
      <w:r>
        <w:t xml:space="preserve">measures all of these; it provides stable homes when the measurements exist.</w:t>
      </w:r>
    </w:p>
    <w:p>
      <w:pPr>
        <w:pStyle w:val="BodyText"/>
      </w:pPr>
      <w:r>
        <w:rPr>
          <w:b/>
          <w:bCs/>
        </w:rPr>
        <w:t xml:space="preserve">Provenance, basis, and uncertainty.</w:t>
      </w:r>
      <w:r>
        <w:t xml:space="preserve"> </w:t>
      </w:r>
      <w:r>
        <w:t xml:space="preserve">Beyond DOI, citation, confidence, lab, and quality flags, v1.7</w:t>
      </w:r>
      <w:r>
        <w:t xml:space="preserve"> </w:t>
      </w:r>
      <w:r>
        <w:t xml:space="preserve">added per-measurement uncertainty columns (e.g. </w:t>
      </w:r>
      <w:r>
        <w:rPr>
          <w:rStyle w:val="VerbatimChar"/>
        </w:rPr>
        <w:t xml:space="preserve">compressive_strength_stddev_mpa</w:t>
      </w:r>
      <w:r>
        <w:t xml:space="preserve">), raw-data references</w:t>
      </w:r>
      <w:r>
        <w:t xml:space="preserve"> </w:t>
      </w:r>
      <w:r>
        <w:t xml:space="preserve">that keep large payloads external (</w:t>
      </w:r>
      <w:r>
        <w:rPr>
          <w:rStyle w:val="VerbatimChar"/>
        </w:rPr>
        <w:t xml:space="preserve">raw_data_doi</w:t>
      </w:r>
      <w:r>
        <w:t xml:space="preserve">,</w:t>
      </w:r>
      <w:r>
        <w:t xml:space="preserve"> </w:t>
      </w:r>
      <w:r>
        <w:rPr>
          <w:rStyle w:val="VerbatimChar"/>
        </w:rPr>
        <w:t xml:space="preserve">stress_strain_file</w:t>
      </w:r>
      <w:r>
        <w:t xml:space="preserve">,</w:t>
      </w:r>
      <w:r>
        <w:t xml:space="preserve"> </w:t>
      </w:r>
      <w:r>
        <w:rPr>
          <w:rStyle w:val="VerbatimChar"/>
        </w:rPr>
        <w:t xml:space="preserve">rheology_curve_file</w:t>
      </w:r>
      <w:r>
        <w:t xml:space="preserve">,</w:t>
      </w:r>
      <w:r>
        <w:t xml:space="preserve"> </w:t>
      </w:r>
      <w:r>
        <w:rPr>
          <w:rStyle w:val="VerbatimChar"/>
        </w:rPr>
        <w:t xml:space="preserve">microstructure_image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raw_data_file</w:t>
      </w:r>
      <w:r>
        <w:t xml:space="preserve">), the basis columns of §5.2, a</w:t>
      </w:r>
      <w:r>
        <w:t xml:space="preserve"> </w:t>
      </w:r>
      <w:r>
        <w:rPr>
          <w:rStyle w:val="VerbatimChar"/>
        </w:rPr>
        <w:t xml:space="preserve">material_class</w:t>
      </w:r>
      <w:r>
        <w:t xml:space="preserve"> </w:t>
      </w:r>
      <w:r>
        <w:t xml:space="preserve">classification,</w:t>
      </w:r>
      <w:r>
        <w:t xml:space="preserve"> </w:t>
      </w:r>
      <w:r>
        <w:t xml:space="preserve">a batch timeline (</w:t>
      </w:r>
      <w:r>
        <w:rPr>
          <w:rStyle w:val="VerbatimChar"/>
        </w:rPr>
        <w:t xml:space="preserve">batch_label</w:t>
      </w:r>
      <w:r>
        <w:t xml:space="preserve">,</w:t>
      </w:r>
      <w:r>
        <w:t xml:space="preserve"> </w:t>
      </w:r>
      <w:r>
        <w:rPr>
          <w:rStyle w:val="VerbatimChar"/>
        </w:rPr>
        <w:t xml:space="preserve">date_of_casting</w:t>
      </w:r>
      <w:r>
        <w:t xml:space="preserve">), and aggregate-conditioning columns</w:t>
      </w:r>
      <w:r>
        <w:t xml:space="preserve"> </w:t>
      </w:r>
      <w:r>
        <w:t xml:space="preserve">(</w:t>
      </w:r>
      <w:r>
        <w:rPr>
          <w:rStyle w:val="VerbatimChar"/>
        </w:rPr>
        <w:t xml:space="preserve">aggregate_moisture_state</w:t>
      </w:r>
      <w:r>
        <w:t xml:space="preserve">,</w:t>
      </w:r>
      <w:r>
        <w:t xml:space="preserve"> </w:t>
      </w:r>
      <w:r>
        <w:rPr>
          <w:rStyle w:val="VerbatimChar"/>
        </w:rPr>
        <w:t xml:space="preserve">aggregate_absorption_pct</w:t>
      </w:r>
      <w:r>
        <w:t xml:space="preserve">,</w:t>
      </w:r>
      <w:r>
        <w:t xml:space="preserve"> </w:t>
      </w:r>
      <w:r>
        <w:rPr>
          <w:rStyle w:val="VerbatimChar"/>
        </w:rPr>
        <w:t xml:space="preserve">aggregate_moisture_content_pct</w:t>
      </w:r>
      <w:r>
        <w:t xml:space="preserve">,</w:t>
      </w:r>
      <w:r>
        <w:t xml:space="preserve"> </w:t>
      </w:r>
      <w:r>
        <w:rPr>
          <w:rStyle w:val="VerbatimChar"/>
        </w:rPr>
        <w:t xml:space="preserve">aggregate_prewetted</w:t>
      </w:r>
      <w:r>
        <w:t xml:space="preserve">) that make effective mix water recoverable when aggregates are batched off the SSD</w:t>
      </w:r>
      <w:r>
        <w:t xml:space="preserve"> </w:t>
      </w:r>
      <w:r>
        <w:t xml:space="preserve">reference.</w:t>
      </w:r>
    </w:p>
    <w:p>
      <w:pPr>
        <w:pStyle w:val="BodyText"/>
      </w:pPr>
      <w:r>
        <w:rPr>
          <w:b/>
          <w:bCs/>
        </w:rPr>
        <w:t xml:space="preserve">Quantifying the cost of flattening.</w:t>
      </w:r>
      <w:r>
        <w:t xml:space="preserve"> </w:t>
      </w:r>
      <w:r>
        <w:t xml:space="preserve">Projecting a heterogeneous or relational source onto one flat</w:t>
      </w:r>
      <w:r>
        <w:t xml:space="preserve"> </w:t>
      </w:r>
      <w:r>
        <w:t xml:space="preserve">row can lose information. Rather than hide that, the fidelity of the mapping can be scored against the</w:t>
      </w:r>
      <w:r>
        <w:t xml:space="preserve"> </w:t>
      </w:r>
      <w:r>
        <w:t xml:space="preserve">source and reported — a proposed, not-yet-calibrated convention (§10) — so the cost of each conversion is</w:t>
      </w:r>
      <w:r>
        <w:t xml:space="preserve"> </w:t>
      </w:r>
      <w:r>
        <w:t xml:space="preserve">recorded rather than hidden. A machine-readable crosswalk</w:t>
      </w:r>
      <w:r>
        <w:t xml:space="preserve"> </w:t>
      </w:r>
      <w:r>
        <w:t xml:space="preserve">to a normalized relational concrete database, and a specification of the process-parameter columns that</w:t>
      </w:r>
      <w:r>
        <w:t xml:space="preserve"> </w:t>
      </w:r>
      <w:r>
        <w:t xml:space="preserve">have no conventional relational counterpart, are included in the repository.</w:t>
      </w:r>
    </w:p>
    <w:p>
      <w:pPr>
        <w:pStyle w:val="BodyText"/>
      </w:pPr>
      <w:r>
        <w:rPr>
          <w:b/>
          <w:bCs/>
        </w:rPr>
        <w:t xml:space="preserve">Worked demonstration: five public datasets in one schema.</w:t>
      </w:r>
      <w:r>
        <w:t xml:space="preserve"> </w:t>
      </w:r>
      <w:r>
        <w:t xml:space="preserve">To show the schema works on real data — not</w:t>
      </w:r>
      <w:r>
        <w:t xml:space="preserve"> </w:t>
      </w:r>
      <w:r>
        <w:t xml:space="preserve">only by design — we ingested five openly-licensed public datasets into Open3DCP, chosen so that each lights</w:t>
      </w:r>
      <w:r>
        <w:t xml:space="preserve"> </w:t>
      </w:r>
      <w:r>
        <w:t xml:space="preserve">up a</w:t>
      </w:r>
      <w:r>
        <w:t xml:space="preserve"> </w:t>
      </w:r>
      <w:r>
        <w:rPr>
          <w:i/>
          <w:iCs/>
        </w:rPr>
        <w:t xml:space="preserve">different</w:t>
      </w:r>
      <w:r>
        <w:t xml:space="preserve"> </w:t>
      </w:r>
      <w:r>
        <w:t xml:space="preserve">slice of the record (Figure 5, left). Two are flat kg/m³ tables that the</w:t>
      </w:r>
      <w:r>
        <w:t xml:space="preserve"> </w:t>
      </w:r>
      <w:r>
        <w:rPr>
          <w:rStyle w:val="VerbatimChar"/>
        </w:rPr>
        <w:t xml:space="preserve">open3dcp-ingest</w:t>
      </w:r>
      <w:r>
        <w:t xml:space="preserve"> </w:t>
      </w:r>
      <w:r>
        <w:t xml:space="preserve">tool converts and scores automatically: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UCI/Yeh (1998)</w:t>
      </w:r>
      <w:r>
        <w:t xml:space="preserve"> </w:t>
      </w:r>
      <w:r>
        <w:t xml:space="preserve">[4], a</w:t>
      </w:r>
      <w:r>
        <w:t xml:space="preserve"> </w:t>
      </w:r>
      <w:r>
        <w:rPr>
          <w:i/>
          <w:iCs/>
        </w:rPr>
        <w:t xml:space="preserve">cast</w:t>
      </w:r>
      <w:r>
        <w:t xml:space="preserve">-concrete benchmark, maps onto composition and hardened strength and</w:t>
      </w:r>
      <w:r>
        <w:t xml:space="preserve"> </w:t>
      </w:r>
      <w:r>
        <w:t xml:space="preserve">ingests at</w:t>
      </w:r>
      <w:r>
        <w:t xml:space="preserve"> </w:t>
      </w:r>
      <w:r>
        <w:rPr>
          <w:b/>
          <w:bCs/>
        </w:rPr>
        <w:t xml:space="preserve">100/100 (A)</w:t>
      </w:r>
      <w:r>
        <w:t xml:space="preserve"> </w:t>
      </w:r>
      <w:r>
        <w:t xml:space="preserve">(126 populated cells across its 9 source fields) with</w:t>
      </w:r>
      <w:r>
        <w:t xml:space="preserve"> </w:t>
      </w:r>
      <w:r>
        <w:rPr>
          <w:b/>
          <w:bCs/>
        </w:rPr>
        <w:t xml:space="preserve">zero assumptions</w:t>
      </w:r>
      <w:r>
        <w:t xml:space="preserve">:</w:t>
      </w:r>
      <w:r>
        <w:t xml:space="preserve"> </w:t>
      </w:r>
      <w:r>
        <w:t xml:space="preserve">every constituent mass is stored exactly, and the four details the source never records — the cement</w:t>
      </w:r>
      <w:r>
        <w:t xml:space="preserve"> </w:t>
      </w:r>
      <w:r>
        <w:t xml:space="preserve">type, the fine- and coarse-aggregate gradations, and the superplasticizer solids fraction — are stored</w:t>
      </w:r>
      <w:r>
        <w:t xml:space="preserve"> </w:t>
      </w:r>
      <w:r>
        <w:rPr>
          <w:i/>
          <w:iCs/>
        </w:rPr>
        <w:t xml:space="preserve">generically</w:t>
      </w:r>
      <w:r>
        <w:t xml:space="preserve"> </w:t>
      </w:r>
      <w:r>
        <w:t xml:space="preserve">(the</w:t>
      </w:r>
      <w:r>
        <w:t xml:space="preserve"> </w:t>
      </w:r>
      <w:r>
        <w:rPr>
          <w:rStyle w:val="VerbatimChar"/>
        </w:rPr>
        <w:t xml:space="preserve">*_unspecified</w:t>
      </w:r>
      <w:r>
        <w:t xml:space="preserve"> </w:t>
      </w:r>
      <w:r>
        <w:t xml:space="preserve">columns and the</w:t>
      </w:r>
      <w:r>
        <w:t xml:space="preserve"> </w:t>
      </w:r>
      <w:r>
        <w:rPr>
          <w:rStyle w:val="VerbatimChar"/>
        </w:rPr>
        <w:t xml:space="preserve">admixture_basis</w:t>
      </w:r>
      <w:r>
        <w:t xml:space="preserve"> </w:t>
      </w:r>
      <w:r>
        <w:t xml:space="preserve">flag) with the classification left</w:t>
      </w:r>
      <w:r>
        <w:t xml:space="preserve"> </w:t>
      </w:r>
      <w:r>
        <w:t xml:space="preserve">NULL rather than guessed. The fidelity report discloses those 47 generically-recorded cells alongside</w:t>
      </w:r>
      <w:r>
        <w:t xml:space="preserve"> </w:t>
      </w:r>
      <w:r>
        <w:t xml:space="preserve">the score. It remains the normal-strength reference point.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Meta SustainableConcrete</w:t>
      </w:r>
      <w:r>
        <w:t xml:space="preserve"> </w:t>
      </w:r>
      <w:r>
        <w:t xml:space="preserve">[49], an openly-licensed (MIT) carbon-aware set from Meta with the</w:t>
      </w:r>
      <w:r>
        <w:t xml:space="preserve"> </w:t>
      </w:r>
      <w:r>
        <w:t xml:space="preserve">University of Illinois and Amrize, ingests at</w:t>
      </w:r>
      <w:r>
        <w:t xml:space="preserve"> </w:t>
      </w:r>
      <w:r>
        <w:rPr>
          <w:b/>
          <w:bCs/>
        </w:rPr>
        <w:t xml:space="preserve">100/100 (A)</w:t>
      </w:r>
      <w:r>
        <w:t xml:space="preserve"> </w:t>
      </w:r>
      <w:r>
        <w:t xml:space="preserve">on the same terms and additionally populates</w:t>
      </w:r>
      <w:r>
        <w:t xml:space="preserve"> </w:t>
      </w:r>
      <w:r>
        <w:rPr>
          <w:b/>
          <w:bCs/>
        </w:rPr>
        <w:t xml:space="preserve">embodied</w:t>
      </w:r>
      <w:r>
        <w:rPr>
          <w:b/>
          <w:bCs/>
        </w:rPr>
        <w:t xml:space="preserve"> </w:t>
      </w:r>
      <w:r>
        <w:rPr>
          <w:b/>
          <w:bCs/>
        </w:rPr>
        <w:t xml:space="preserve">carbon</w:t>
      </w:r>
      <w:r>
        <w:t xml:space="preserve"> </w:t>
      </w:r>
      <w:r>
        <w:t xml:space="preserve">(per-mix global warming potential, GWP) and the measurement-uncertainty columns. It makes a</w:t>
      </w:r>
      <w:r>
        <w:t xml:space="preserve"> </w:t>
      </w:r>
      <w:r>
        <w:t xml:space="preserve">cross-source trade-off legible in one schema: a plain-Portland concrete (Mix_84) at ~521 kg CO</w:t>
      </w:r>
      <w:r>
        <w:rPr>
          <w:vertAlign w:val="subscript"/>
        </w:rPr>
        <w:t xml:space="preserve">2</w:t>
      </w:r>
      <w:r>
        <w:t xml:space="preserve">/m³ for</w:t>
      </w:r>
      <w:r>
        <w:t xml:space="preserve"> </w:t>
      </w:r>
      <w:r>
        <w:t xml:space="preserve">~65 MPa beside a low-clinker ternary (Mix_88) at ~204 kg CO</w:t>
      </w:r>
      <w:r>
        <w:rPr>
          <w:vertAlign w:val="subscript"/>
        </w:rPr>
        <w:t xml:space="preserve">2</w:t>
      </w:r>
      <w:r>
        <w:t xml:space="preserve">/m³ for ~110 MPa — a low-clinker binder</w:t>
      </w:r>
      <w:r>
        <w:t xml:space="preserve"> </w:t>
      </w:r>
      <w:r>
        <w:t xml:space="preserve">reaching high strength at a fraction of the embodied carbon. (The strength gap also reflects a lower</w:t>
      </w:r>
      <w:r>
        <w:t xml:space="preserve"> </w:t>
      </w:r>
      <w:r>
        <w:t xml:space="preserve">water/binder ratio — 0.25 vs 0.40: a second mix in the same set at the</w:t>
      </w:r>
      <w:r>
        <w:t xml:space="preserve"> </w:t>
      </w:r>
      <w:r>
        <w:rPr>
          <w:i/>
          <w:iCs/>
        </w:rPr>
        <w:t xml:space="preserve">same</w:t>
      </w:r>
      <w:r>
        <w:t xml:space="preserve"> </w:t>
      </w:r>
      <w:r>
        <w:t xml:space="preserve">~204 kg CO</w:t>
      </w:r>
      <w:r>
        <w:rPr>
          <w:vertAlign w:val="subscript"/>
        </w:rPr>
        <w:t xml:space="preserve">2</w:t>
      </w:r>
      <w:r>
        <w:t xml:space="preserve">/m³ reaches</w:t>
      </w:r>
      <w:r>
        <w:t xml:space="preserve"> </w:t>
      </w:r>
      <w:r>
        <w:t xml:space="preserve">~61 MPa, so this is one illustrative pair, not a carbon-drives-strength trend. And where a source’s</w:t>
      </w:r>
      <w:r>
        <w:t xml:space="preserve"> </w:t>
      </w:r>
      <w:r>
        <w:t xml:space="preserve">dosages are design proportions that do not close a 1 m³ batch — flagged per row by the ingest tool’s</w:t>
      </w:r>
      <w:r>
        <w:t xml:space="preserve"> </w:t>
      </w:r>
      <w:r>
        <w:t xml:space="preserve">absolute-volume yield check in</w:t>
      </w:r>
      <w:r>
        <w:t xml:space="preserve"> </w:t>
      </w:r>
      <w:r>
        <w:rPr>
          <w:rStyle w:val="VerbatimChar"/>
        </w:rPr>
        <w:t xml:space="preserve">provenance_notes</w:t>
      </w:r>
      <w:r>
        <w:t xml:space="preserve"> </w:t>
      </w:r>
      <w:r>
        <w:t xml:space="preserve">— per-m³ quantities inherit that discrepancy. Separately, the source repository ships a trained</w:t>
      </w:r>
      <w:r>
        <w:t xml:space="preserve"> </w:t>
      </w:r>
      <w:r>
        <w:t xml:space="preserve">Gaussian-process model and an optimization-explored design space of</w:t>
      </w:r>
      <w:r>
        <w:t xml:space="preserve"> </w:t>
      </w:r>
      <w:r>
        <w:rPr>
          <w:i/>
          <w:iCs/>
        </w:rPr>
        <w:t xml:space="preserve">model-generated</w:t>
      </w:r>
      <w:r>
        <w:t xml:space="preserve"> </w:t>
      </w:r>
      <w:r>
        <w:t xml:space="preserve">candidate mixes;</w:t>
      </w:r>
      <w:r>
        <w:t xml:space="preserve"> </w:t>
      </w:r>
      <w:r>
        <w:t xml:space="preserve">recording such candidates alongside</w:t>
      </w:r>
      <w:r>
        <w:t xml:space="preserve"> </w:t>
      </w:r>
      <w:r>
        <w:rPr>
          <w:i/>
          <w:iCs/>
        </w:rPr>
        <w:t xml:space="preserve">measured</w:t>
      </w:r>
      <w:r>
        <w:t xml:space="preserve"> </w:t>
      </w:r>
      <w:r>
        <w:t xml:space="preserve">data — kept distinct by</w:t>
      </w:r>
      <w:r>
        <w:t xml:space="preserve"> </w:t>
      </w:r>
      <w:r>
        <w:rPr>
          <w:rStyle w:val="VerbatimChar"/>
        </w:rPr>
        <w:t xml:space="preserve">measurement_confidence</w:t>
      </w:r>
      <w:r>
        <w:t xml:space="preserve"> </w:t>
      </w:r>
      <w:r>
        <w:t xml:space="preserve">— is a</w:t>
      </w:r>
      <w:r>
        <w:t xml:space="preserve"> </w:t>
      </w:r>
      <w:r>
        <w:t xml:space="preserve">natural next ingestion, not attempted here.)</w:t>
      </w:r>
    </w:p>
    <w:p>
      <w:pPr>
        <w:pStyle w:val="FirstParagraph"/>
      </w:pPr>
      <w:r>
        <w:t xml:space="preserve">These scores are an honest</w:t>
      </w:r>
      <w:r>
        <w:t xml:space="preserve"> </w:t>
      </w:r>
      <w:r>
        <w:rPr>
          <w:i/>
          <w:iCs/>
        </w:rPr>
        <w:t xml:space="preserve">ingestion-fidelity</w:t>
      </w:r>
      <w:r>
        <w:t xml:space="preserve"> </w:t>
      </w:r>
      <w:r>
        <w:t xml:space="preserve">check on a curated excerpt, not a dataset-quality grade. The</w:t>
      </w:r>
      <w:r>
        <w:t xml:space="preserve"> </w:t>
      </w:r>
      <w:r>
        <w:t xml:space="preserve">metric scores only the dimensions a flat source can actually exercise — relational-integrity and</w:t>
      </w:r>
      <w:r>
        <w:t xml:space="preserve"> </w:t>
      </w:r>
      <w:r>
        <w:t xml:space="preserve">file-capture are reported</w:t>
      </w:r>
      <w:r>
        <w:t xml:space="preserve"> </w:t>
      </w:r>
      <w:r>
        <w:rPr>
          <w:i/>
          <w:iCs/>
        </w:rPr>
        <w:t xml:space="preserve">not applicable</w:t>
      </w:r>
      <w:r>
        <w:t xml:space="preserve"> </w:t>
      </w:r>
      <w:r>
        <w:t xml:space="preserve">and excluded rather than credited a free 100 — renormalizes over</w:t>
      </w:r>
      <w:r>
        <w:t xml:space="preserve"> </w:t>
      </w:r>
      <w:r>
        <w:t xml:space="preserve">those, and</w:t>
      </w:r>
      <w:r>
        <w:t xml:space="preserve"> </w:t>
      </w:r>
      <w:r>
        <w:rPr>
          <w:b/>
          <w:bCs/>
        </w:rPr>
        <w:t xml:space="preserve">caps the grade by its weakest applicable dimension</w:t>
      </w:r>
      <w:r>
        <w:t xml:space="preserve">, so near-complete field coverage cannot</w:t>
      </w:r>
      <w:r>
        <w:t xml:space="preserve"> </w:t>
      </w:r>
      <w:r>
        <w:t xml:space="preserve">float a low value-fidelity to an</w:t>
      </w:r>
      <w:r>
        <w:t xml:space="preserve"> </w:t>
      </w:r>
      <w:r>
        <w:t xml:space="preserve">“A”</w:t>
      </w:r>
      <w:r>
        <w:t xml:space="preserve">. Value-fidelity counts every cell that rests on a genuine assumption</w:t>
      </w:r>
      <w:r>
        <w:t xml:space="preserve"> </w:t>
      </w:r>
      <w:r>
        <w:t xml:space="preserve">(a guessed solids fraction or product density, a volume dose without one, an incomplete-batch projection)</w:t>
      </w:r>
      <w:r>
        <w:t xml:space="preserve"> </w:t>
      </w:r>
      <w:r>
        <w:t xml:space="preserve">against the cells stored exactly. The metric earned its keep against this very schema: an earlier draft</w:t>
      </w:r>
      <w:r>
        <w:t xml:space="preserve"> </w:t>
      </w:r>
      <w:r>
        <w:rPr>
          <w:i/>
          <w:iCs/>
        </w:rPr>
        <w:t xml:space="preserve">defaulted</w:t>
      </w:r>
      <w:r>
        <w:t xml:space="preserve"> </w:t>
      </w:r>
      <w:r>
        <w:t xml:space="preserve">unstated classifications — a cement type, two aggregate gradation buckets — and the metric</w:t>
      </w:r>
      <w:r>
        <w:t xml:space="preserve"> </w:t>
      </w:r>
      <w:r>
        <w:t xml:space="preserve">priced those guesses at</w:t>
      </w:r>
      <w:r>
        <w:t xml:space="preserve"> </w:t>
      </w:r>
      <w:r>
        <w:rPr>
          <w:b/>
          <w:bCs/>
        </w:rPr>
        <w:t xml:space="preserve">79.9/C</w:t>
      </w:r>
      <w:r>
        <w:t xml:space="preserve"> </w:t>
      </w:r>
      <w:r>
        <w:t xml:space="preserve">for UCI. Rather than accept fabricated certainty,</w:t>
      </w:r>
      <w:r>
        <w:t xml:space="preserve"> </w:t>
      </w:r>
      <w:r>
        <w:rPr>
          <w:b/>
          <w:bCs/>
        </w:rPr>
        <w:t xml:space="preserve">v1.7.5 added the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*_unspecified</w:t>
      </w:r>
      <w:r>
        <w:rPr>
          <w:b/>
          <w:bCs/>
        </w:rPr>
        <w:t xml:space="preserve"> </w:t>
      </w:r>
      <w:r>
        <w:rPr>
          <w:b/>
          <w:bCs/>
        </w:rPr>
        <w:t xml:space="preserve">columns and the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admixture_basis</w:t>
      </w:r>
      <w:r>
        <w:rPr>
          <w:b/>
          <w:bCs/>
        </w:rPr>
        <w:t xml:space="preserve"> </w:t>
      </w:r>
      <w:r>
        <w:rPr>
          <w:b/>
          <w:bCs/>
        </w:rPr>
        <w:t xml:space="preserve">flag</w:t>
      </w:r>
      <w:r>
        <w:t xml:space="preserve"> </w:t>
      </w:r>
      <w:r>
        <w:t xml:space="preserve">so the schema records exactly what a source</w:t>
      </w:r>
      <w:r>
        <w:t xml:space="preserve"> </w:t>
      </w:r>
      <w:r>
        <w:t xml:space="preserve">states and nothing more; the same data then ingests with zero assumptions, and the unknowns are visible</w:t>
      </w:r>
      <w:r>
        <w:t xml:space="preserve"> </w:t>
      </w:r>
      <w:r>
        <w:t xml:space="preserve">NULLs instead of silent defaults. A perfect score therefore means precisely</w:t>
      </w:r>
      <w:r>
        <w:t xml:space="preserve"> </w:t>
      </w:r>
      <w:r>
        <w:t xml:space="preserve">“nothing was assumed”</w:t>
      </w:r>
      <w:r>
        <w:t xml:space="preserve"> </w:t>
      </w:r>
      <w:r>
        <w:t xml:space="preserve">— and</w:t>
      </w:r>
      <w:r>
        <w:t xml:space="preserve"> </w:t>
      </w:r>
      <w:r>
        <w:t xml:space="preserve">the report still lists every generically-recorded cell — while messy sources (volume doses, missing batch</w:t>
      </w:r>
      <w:r>
        <w:t xml:space="preserve"> </w:t>
      </w:r>
      <w:r>
        <w:t xml:space="preserve">masses, unstated units) are penalized exactly as before. The convention is documented in §10,</w:t>
      </w:r>
      <w:r>
        <w:t xml:space="preserve"> </w:t>
      </w:r>
      <w:r>
        <w:t xml:space="preserve">deliberately conservative, and not yet calibrated against a labelled benchmark.</w:t>
      </w:r>
    </w:p>
    <w:p>
      <w:pPr>
        <w:pStyle w:val="BodyText"/>
      </w:pPr>
      <w:r>
        <w:t xml:space="preserve">Three more are curated through their native structure (a fidelity score for each awaits a dedicated</w:t>
      </w:r>
      <w:r>
        <w:t xml:space="preserve"> </w:t>
      </w:r>
      <w:r>
        <w:t xml:space="preserve">reader, exactly as the tool is extended source by source):</w:t>
      </w:r>
    </w:p>
    <w:p>
      <w:pPr>
        <w:pStyle w:val="Compact"/>
        <w:numPr>
          <w:ilvl w:val="0"/>
          <w:numId w:val="1006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RILEM TC 304-ADC</w:t>
      </w:r>
      <w:r>
        <w:t xml:space="preserve"> </w:t>
      </w:r>
      <w:r>
        <w:t xml:space="preserve">interlaboratory study on the mechanical properties of 3D-printed concrete</w:t>
      </w:r>
      <w:r>
        <w:t xml:space="preserve"> </w:t>
      </w:r>
      <w:r>
        <w:t xml:space="preserve">[48] — a</w:t>
      </w:r>
      <w:r>
        <w:t xml:space="preserve"> </w:t>
      </w:r>
      <w:r>
        <w:rPr>
          <w:i/>
          <w:iCs/>
        </w:rPr>
        <w:t xml:space="preserve">real 3DCP</w:t>
      </w:r>
      <w:r>
        <w:t xml:space="preserve"> </w:t>
      </w:r>
      <w:r>
        <w:t xml:space="preserve">database from roughly thirty laboratories, stored as a normalized relational SQLite</w:t>
      </w:r>
      <w:r>
        <w:t xml:space="preserve"> </w:t>
      </w:r>
      <w:r>
        <w:t xml:space="preserve">export — populates 3DCP process, fresh-state rheology, hardened mechanical,</w:t>
      </w:r>
      <w:r>
        <w:t xml:space="preserve"> </w:t>
      </w:r>
      <w:r>
        <w:rPr>
          <w:b/>
          <w:bCs/>
        </w:rPr>
        <w:t xml:space="preserve">orientation</w:t>
      </w:r>
      <w:r>
        <w:t xml:space="preserve">, and the</w:t>
      </w:r>
      <w:r>
        <w:t xml:space="preserve"> </w:t>
      </w:r>
      <w:r>
        <w:t xml:space="preserve">per-measurement uncertainty columns (mean ± standard deviation ± n).</w:t>
      </w:r>
    </w:p>
    <w:p>
      <w:pPr>
        <w:pStyle w:val="Compact"/>
        <w:numPr>
          <w:ilvl w:val="0"/>
          <w:numId w:val="1006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University of Florida 3D-Printing-Concrete Mix-Design</w:t>
      </w:r>
      <w:r>
        <w:t xml:space="preserve"> </w:t>
      </w:r>
      <w:r>
        <w:t xml:space="preserve">dataset [50] supplies the extrusion-3DCP</w:t>
      </w:r>
      <w:r>
        <w:t xml:space="preserve"> </w:t>
      </w:r>
      <w:r>
        <w:rPr>
          <w:i/>
          <w:iCs/>
        </w:rPr>
        <w:t xml:space="preserve">printability</w:t>
      </w:r>
      <w:r>
        <w:t xml:space="preserve"> </w:t>
      </w:r>
      <w:r>
        <w:t xml:space="preserve">slice — static and dynamic yield stress and plastic viscosity — and is an honest illustration of a basis</w:t>
      </w:r>
      <w:r>
        <w:t xml:space="preserve"> </w:t>
      </w:r>
      <w:r>
        <w:t xml:space="preserve">mismatch: it reports constituents as ratios to binder with no absolute kg/m³, so a constituent mass-% of</w:t>
      </w:r>
      <w:r>
        <w:t xml:space="preserve"> </w:t>
      </w:r>
      <w:r>
        <w:t xml:space="preserve">the mix is left NULL rather than invented.</w:t>
      </w:r>
    </w:p>
    <w:p>
      <w:pPr>
        <w:pStyle w:val="Compact"/>
        <w:numPr>
          <w:ilvl w:val="0"/>
          <w:numId w:val="1006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TU-Braunschweig Database of 3D Concrete Printed Buildings</w:t>
      </w:r>
      <w:r>
        <w:t xml:space="preserve"> </w:t>
      </w:r>
      <w:r>
        <w:t xml:space="preserve">[51] supplies the</w:t>
      </w:r>
      <w:r>
        <w:t xml:space="preserve"> </w:t>
      </w:r>
      <w:r>
        <w:rPr>
          <w:i/>
          <w:iCs/>
        </w:rPr>
        <w:t xml:space="preserve">project / process</w:t>
      </w:r>
      <w:r>
        <w:rPr>
          <w:i/>
          <w:iCs/>
        </w:rPr>
        <w:t xml:space="preserve"> </w:t>
      </w:r>
      <w:r>
        <w:rPr>
          <w:i/>
          <w:iCs/>
        </w:rPr>
        <w:t xml:space="preserve">layer</w:t>
      </w:r>
      <w:r>
        <w:t xml:space="preserve"> </w:t>
      </w:r>
      <w:r>
        <w:t xml:space="preserve">— as-built printed structures by consortium, country, and system — a slice with no mix or strength</w:t>
      </w:r>
      <w:r>
        <w:t xml:space="preserve"> </w:t>
      </w:r>
      <w:r>
        <w:t xml:space="preserve">data, which the current mix-centric schema records as provenance and marks as the frontier a future</w:t>
      </w:r>
      <w:r>
        <w:t xml:space="preserve"> </w:t>
      </w:r>
      <w:r>
        <w:t xml:space="preserve">project/process table will type.</w:t>
      </w:r>
    </w:p>
    <w:p>
      <w:pPr>
        <w:pStyle w:val="FirstParagraph"/>
      </w:pPr>
      <w:r>
        <w:t xml:space="preserve">A UHPC source surveyed for this work, the Stevens dataset (Mahjoubi &amp; Bao), was excluded as reference-only:</w:t>
      </w:r>
      <w:r>
        <w:t xml:space="preserve"> </w:t>
      </w:r>
      <w:r>
        <w:t xml:space="preserve">its mix variables are published as a coded ML feature matrix whose legend is paywalled, so it cannot be</w:t>
      </w:r>
      <w:r>
        <w:t xml:space="preserve"> </w:t>
      </w:r>
      <w:r>
        <w:t xml:space="preserve">honestly re-ingested. Together the five light up complementary slices, and Open3DCP holds the union of these</w:t>
      </w:r>
      <w:r>
        <w:t xml:space="preserve"> </w:t>
      </w:r>
      <w:r>
        <w:t xml:space="preserve">five sources in one shape — and</w:t>
      </w:r>
      <w:r>
        <w:t xml:space="preserve"> </w:t>
      </w:r>
      <w:r>
        <w:rPr>
          <w:i/>
          <w:iCs/>
        </w:rPr>
        <w:t xml:space="preserve">the empty cells are as much the point as the full ones</w:t>
      </w:r>
      <w:r>
        <w:t xml:space="preserve">: what each source</w:t>
      </w:r>
      <w:r>
        <w:t xml:space="preserve"> </w:t>
      </w:r>
      <w:r>
        <w:t xml:space="preserve">cannot supply is recorded, not hidden (Figure 5, left).</w:t>
      </w:r>
    </w:p>
    <w:p>
      <w:pPr>
        <w:pStyle w:val="BodyText"/>
      </w:pPr>
      <w:r>
        <w:t xml:space="preserve">The demonstration also yields a characterization result that</w:t>
      </w:r>
      <w:r>
        <w:t xml:space="preserve"> </w:t>
      </w:r>
      <w:r>
        <w:rPr>
          <w:b/>
          <w:bCs/>
        </w:rPr>
        <w:t xml:space="preserve">cannot be expressed without an orientation</w:t>
      </w:r>
      <w:r>
        <w:rPr>
          <w:b/>
          <w:bCs/>
        </w:rPr>
        <w:t xml:space="preserve"> </w:t>
      </w:r>
      <w:r>
        <w:rPr>
          <w:b/>
          <w:bCs/>
        </w:rPr>
        <w:t xml:space="preserve">field, nor compared across laboratories without a shared schema</w:t>
      </w:r>
      <w:r>
        <w:t xml:space="preserve">: print anisotropy. Mapping the RILEM</w:t>
      </w:r>
      <w:r>
        <w:t xml:space="preserve"> </w:t>
      </w:r>
      <w:r>
        <w:t xml:space="preserve">U/V/W loading codes onto Open3DCP’s</w:t>
      </w:r>
      <w:r>
        <w:t xml:space="preserve"> </w:t>
      </w:r>
      <w:r>
        <w:rPr>
          <w:rStyle w:val="VerbatimChar"/>
        </w:rPr>
        <w:t xml:space="preserve">test_orientation_code</w:t>
      </w:r>
      <w:r>
        <w:t xml:space="preserve"> </w:t>
      </w:r>
      <w:r>
        <w:t xml:space="preserve">(X/Y/Z/CAST), printed concrete loaded</w:t>
      </w:r>
      <w:r>
        <w:t xml:space="preserve"> </w:t>
      </w:r>
      <w:r>
        <w:rPr>
          <w:b/>
          <w:bCs/>
        </w:rPr>
        <w:t xml:space="preserve">along</w:t>
      </w:r>
      <w:r>
        <w:rPr>
          <w:b/>
          <w:bCs/>
        </w:rPr>
        <w:t xml:space="preserve"> </w:t>
      </w:r>
      <w:r>
        <w:rPr>
          <w:b/>
          <w:bCs/>
        </w:rPr>
        <w:t xml:space="preserve">the print path is 32–55 % weaker in flexure</w:t>
      </w:r>
      <w:r>
        <w:t xml:space="preserve"> </w:t>
      </w:r>
      <w:r>
        <w:t xml:space="preserve">than its cast reference in each of three independent</w:t>
      </w:r>
      <w:r>
        <w:t xml:space="preserve"> </w:t>
      </w:r>
      <w:r>
        <w:t xml:space="preserve">single-lab datasets — three</w:t>
      </w:r>
      <w:r>
        <w:t xml:space="preserve"> </w:t>
      </w:r>
      <w:r>
        <w:rPr>
          <w:i/>
          <w:iCs/>
        </w:rPr>
        <w:t xml:space="preserve">different</w:t>
      </w:r>
      <w:r>
        <w:t xml:space="preserve"> </w:t>
      </w:r>
      <w:r>
        <w:t xml:space="preserve">commercial premixes tested at ~28–30 days (per-lab reductions 40 %,</w:t>
      </w:r>
      <w:r>
        <w:t xml:space="preserve"> </w:t>
      </w:r>
      <w:r>
        <w:t xml:space="preserve">32 %, and 55 %; n = 12–40 per group). The reductions agree in direction across all three, but the datasets</w:t>
      </w:r>
      <w:r>
        <w:t xml:space="preserve"> </w:t>
      </w:r>
      <w:r>
        <w:t xml:space="preserve">share no formulation, so this is a consistent single-lab observation rather than a pooled estimate; the</w:t>
      </w:r>
      <w:r>
        <w:t xml:space="preserve"> </w:t>
      </w:r>
      <w:r>
        <w:t xml:space="preserve">55 % upper bound is the least-pinned, resting on a 12-specimen cast group with ~40 % coefficient of</w:t>
      </w:r>
      <w:r>
        <w:t xml:space="preserve"> </w:t>
      </w:r>
      <w:r>
        <w:t xml:space="preserve">variation (roughly ± 7 percentage points of standard error). Literature reductions for specimens loaded</w:t>
      </w:r>
      <w:r>
        <w:t xml:space="preserve"> </w:t>
      </w:r>
      <w:r>
        <w:rPr>
          <w:i/>
          <w:iCs/>
        </w:rPr>
        <w:t xml:space="preserve">across</w:t>
      </w:r>
      <w:r>
        <w:t xml:space="preserve"> </w:t>
      </w:r>
      <w:r>
        <w:t xml:space="preserve">the layer interface run ~20–40 % [5, 6]; our along-path</w:t>
      </w:r>
      <w:r>
        <w:t xml:space="preserve"> </w:t>
      </w:r>
      <w:r>
        <w:rPr>
          <w:i/>
          <w:iCs/>
        </w:rPr>
        <w:t xml:space="preserve">flexural</w:t>
      </w:r>
      <w:r>
        <w:t xml:space="preserve"> </w:t>
      </w:r>
      <w:r>
        <w:t xml:space="preserve">reductions run higher because</w:t>
      </w:r>
      <w:r>
        <w:t xml:space="preserve"> </w:t>
      </w:r>
      <w:r>
        <w:t xml:space="preserve">bending concentrates tension on the interlayer planes. (That is also why Table 1’s</w:t>
      </w:r>
      <w:r>
        <w:t xml:space="preserve"> </w:t>
      </w:r>
      <w:r>
        <w:t xml:space="preserve">“typical strength”</w:t>
      </w:r>
      <w:r>
        <w:t xml:space="preserve"> </w:t>
      </w:r>
      <w:r>
        <w:t xml:space="preserve">ordering — stated for axial loading — inverts here, as the table note and Limitation 4 say.) This is a demonstration of</w:t>
      </w:r>
      <w:r>
        <w:t xml:space="preserve"> </w:t>
      </w:r>
      <w:r>
        <w:rPr>
          <w:i/>
          <w:iCs/>
        </w:rPr>
        <w:t xml:space="preserve">ingestion and interoperability</w:t>
      </w:r>
      <w:r>
        <w:t xml:space="preserve"> </w:t>
      </w:r>
      <w:r>
        <w:t xml:space="preserve">— recording what was measured in one comparable shape — not a predictive-model benchmark; assembling and</w:t>
      </w:r>
      <w:r>
        <w:t xml:space="preserve"> </w:t>
      </w:r>
      <w:r>
        <w:t xml:space="preserve">modelling a pooled multi-source corpus is future work (§11).</w:t>
      </w:r>
    </w:p>
    <w:p>
      <w:pPr>
        <w:pStyle w:val="CaptionedFigure"/>
      </w:pPr>
      <w:r>
        <w:drawing>
          <wp:inline>
            <wp:extent cx="5334000" cy="2220883"/>
            <wp:effectExtent b="0" l="0" r="0" t="0"/>
            <wp:docPr descr="Worked demonstration. Left: five openly-licensed public datasets ingested into Open3DCP — UCI/Yeh (cast benchmark), Meta SustainableConcrete (cast, carbon-aware), the RILEM TC 304-ADC interlaboratory study (real 3DCP, ~30 labs), the UF 3DCP mix-design set (printability), and the TU-Braunschweig 3DCP buildings catalogue (project layer) — each populating a different slice of the record (dark = populated, light = partial/absent), with Open3DCP spanning the union; the empty cells are recorded, not hidden. The two flat kg/m³ sources carry an automated open3dcp-ingest fidelity score (both 100/A — zero assumptions, with generically-recorded cells disclosed; see §6); the rest are curated through their native structure. Right: a cross-study characterization result from the RILEM data, expressible only because the schema records loading orientation — printed concrete loaded along the print path (X) is 32–55 % weaker in flexure than the cast reference in three independent single-lab datasets (three different premixes, ~28–30 d, per-lab n = 12–40; error bars are ± one standard deviation)." title="" id="28" name="Picture"/>
            <a:graphic>
              <a:graphicData uri="http://schemas.openxmlformats.org/drawingml/2006/picture">
                <pic:pic>
                  <pic:nvPicPr>
                    <pic:cNvPr descr="figures/fig5_demonstration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208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>
          <w:b/>
          <w:bCs/>
        </w:rPr>
        <w:t xml:space="preserve">Worked demonstration.</w:t>
      </w:r>
      <w:r>
        <w:t xml:space="preserve"> </w:t>
      </w:r>
      <w:r>
        <w:rPr>
          <w:i/>
          <w:iCs/>
        </w:rPr>
        <w:t xml:space="preserve">Left:</w:t>
      </w:r>
      <w:r>
        <w:t xml:space="preserve"> </w:t>
      </w:r>
      <w:r>
        <w:t xml:space="preserve">five openly-licensed public datasets ingested into Open3DCP — UCI/Yeh (cast benchmark), Meta SustainableConcrete (cast, carbon-aware), the RILEM TC 304-ADC interlaboratory study (real 3DCP, ~30 labs), the UF 3DCP mix-design set (printability), and the TU-Braunschweig 3DCP buildings catalogue (project layer) — each populating a different slice of the record (dark = populated, light = partial/absent), with Open3DCP spanning the union; the empty cells are recorded, not hidden. The two flat kg/m³ sources carry an automated</w:t>
      </w:r>
      <w:r>
        <w:t xml:space="preserve"> </w:t>
      </w:r>
      <w:r>
        <w:rPr>
          <w:rStyle w:val="VerbatimChar"/>
        </w:rPr>
        <w:t xml:space="preserve">open3dcp-ingest</w:t>
      </w:r>
      <w:r>
        <w:t xml:space="preserve"> </w:t>
      </w:r>
      <w:r>
        <w:t xml:space="preserve">fidelity score (both 100/A — zero assumptions, with generically-recorded cells disclosed; see §6); the rest are curated through their native structure.</w:t>
      </w:r>
      <w:r>
        <w:t xml:space="preserve"> </w:t>
      </w:r>
      <w:r>
        <w:rPr>
          <w:i/>
          <w:iCs/>
        </w:rPr>
        <w:t xml:space="preserve">Right:</w:t>
      </w:r>
      <w:r>
        <w:t xml:space="preserve"> </w:t>
      </w:r>
      <w:r>
        <w:t xml:space="preserve">a cross-study characterization result from the RILEM data, expressible only because the schema records loading orientation — printed concrete loaded along the print path (X) is 32–55 % weaker in flexure than the cast reference in three independent single-lab datasets (three different premixes, ~28–30 d, per-lab n = 12–40; error bars are ± one standard deviation).</w:t>
      </w:r>
    </w:p>
    <w:bookmarkEnd w:id="30"/>
    <w:bookmarkStart w:id="31" w:name="digital-twin-and-icme-framing"/>
    <w:p>
      <w:pPr>
        <w:pStyle w:val="Heading2"/>
      </w:pPr>
      <w:r>
        <w:t xml:space="preserve">7. Digital twin and ICME framing</w:t>
      </w:r>
    </w:p>
    <w:p>
      <w:pPr>
        <w:pStyle w:val="FirstParagraph"/>
      </w:pPr>
      <w:r>
        <w:t xml:space="preserve">A full digital twin of a 3DCP process spans at least four layers of information: a</w:t>
      </w:r>
      <w:r>
        <w:t xml:space="preserve"> </w:t>
      </w:r>
      <w:r>
        <w:rPr>
          <w:b/>
          <w:bCs/>
        </w:rPr>
        <w:t xml:space="preserve">material</w:t>
      </w:r>
      <w:r>
        <w:rPr>
          <w:b/>
          <w:bCs/>
        </w:rPr>
        <w:t xml:space="preserve"> </w:t>
      </w:r>
      <w:r>
        <w:rPr>
          <w:b/>
          <w:bCs/>
        </w:rPr>
        <w:t xml:space="preserve">definition</w:t>
      </w:r>
      <w:r>
        <w:t xml:space="preserve"> </w:t>
      </w:r>
      <w:r>
        <w:t xml:space="preserve">(composition, product identity, particle characteristics, water/admixture basis, fiber</w:t>
      </w:r>
      <w:r>
        <w:t xml:space="preserve"> </w:t>
      </w:r>
      <w:r>
        <w:t xml:space="preserve">geometry); a</w:t>
      </w:r>
      <w:r>
        <w:t xml:space="preserve"> </w:t>
      </w:r>
      <w:r>
        <w:rPr>
          <w:b/>
          <w:bCs/>
        </w:rPr>
        <w:t xml:space="preserve">process definition</w:t>
      </w:r>
      <w:r>
        <w:t xml:space="preserve"> </w:t>
      </w:r>
      <w:r>
        <w:t xml:space="preserve">(mixing, pumping, nozzle geometry, motion, extrusion rate, layer</w:t>
      </w:r>
      <w:r>
        <w:t xml:space="preserve"> </w:t>
      </w:r>
      <w:r>
        <w:t xml:space="preserve">schedule, environment, curing);</w:t>
      </w:r>
      <w:r>
        <w:t xml:space="preserve"> </w:t>
      </w:r>
      <w:r>
        <w:rPr>
          <w:b/>
          <w:bCs/>
        </w:rPr>
        <w:t xml:space="preserve">state and structure</w:t>
      </w:r>
      <w:r>
        <w:t xml:space="preserve"> </w:t>
      </w:r>
      <w:r>
        <w:t xml:space="preserve">(fresh rheology, thixotropic recovery,</w:t>
      </w:r>
      <w:r>
        <w:t xml:space="preserve"> </w:t>
      </w:r>
      <w:r>
        <w:t xml:space="preserve">interlayer surface condition, porosity, moisture, temperature, hydration, fiber orientation,</w:t>
      </w:r>
      <w:r>
        <w:t xml:space="preserve"> </w:t>
      </w:r>
      <w:r>
        <w:t xml:space="preserve">microstructure); and</w:t>
      </w:r>
      <w:r>
        <w:t xml:space="preserve"> </w:t>
      </w:r>
      <w:r>
        <w:rPr>
          <w:b/>
          <w:bCs/>
        </w:rPr>
        <w:t xml:space="preserve">performance and provenance</w:t>
      </w:r>
      <w:r>
        <w:t xml:space="preserve"> </w:t>
      </w:r>
      <w:r>
        <w:t xml:space="preserve">(mechanical and durability properties, test method,</w:t>
      </w:r>
      <w:r>
        <w:t xml:space="preserve"> </w:t>
      </w:r>
      <w:r>
        <w:t xml:space="preserve">specimen geometry, orientation, lab, confidence, source). Open3DCP covers much of the first, second, and</w:t>
      </w:r>
      <w:r>
        <w:t xml:space="preserve"> </w:t>
      </w:r>
      <w:r>
        <w:t xml:space="preserve">fourth, and a useful subset of the third (Figure 1).</w:t>
      </w:r>
      <w:r>
        <w:t xml:space="preserve"> </w:t>
      </w:r>
      <w:r>
        <w:rPr>
          <w:b/>
          <w:bCs/>
        </w:rPr>
        <w:t xml:space="preserve">Open3DCP is not a digital twin.</w:t>
      </w:r>
      <w:r>
        <w:t xml:space="preserve"> </w:t>
      </w:r>
      <w:r>
        <w:t xml:space="preserve">A digital twin,</w:t>
      </w:r>
      <w:r>
        <w:t xml:space="preserve"> </w:t>
      </w:r>
      <w:r>
        <w:t xml:space="preserve">as the digital-fabrication community uses the term, requires live, bidirectional coupling to the running</w:t>
      </w:r>
      <w:r>
        <w:t xml:space="preserve"> </w:t>
      </w:r>
      <w:r>
        <w:t xml:space="preserve">process; a static, scalar, single-row schema has none. Open3DCP is better described as a</w:t>
      </w:r>
      <w:r>
        <w:t xml:space="preserve"> </w:t>
      </w:r>
      <w:r>
        <w:rPr>
          <w:i/>
          <w:iCs/>
        </w:rPr>
        <w:t xml:space="preserve">structured</w:t>
      </w:r>
      <w:r>
        <w:rPr>
          <w:i/>
          <w:iCs/>
        </w:rPr>
        <w:t xml:space="preserve"> </w:t>
      </w:r>
      <w:r>
        <w:rPr>
          <w:i/>
          <w:iCs/>
        </w:rPr>
        <w:t xml:space="preserve">experiment record</w:t>
      </w:r>
      <w:r>
        <w:t xml:space="preserve"> </w:t>
      </w:r>
      <w:r>
        <w:t xml:space="preserve">— a substrate from which many aspects of published 3DCP work can be reconstructed and</w:t>
      </w:r>
      <w:r>
        <w:t xml:space="preserve"> </w:t>
      </w:r>
      <w:r>
        <w:t xml:space="preserve">compared, and on which future digital twins could be built. Full process twins will additionally require</w:t>
      </w:r>
      <w:r>
        <w:t xml:space="preserve"> </w:t>
      </w:r>
      <w:r>
        <w:t xml:space="preserve">time-series machine logs, synchronized sensor data, imaging, and richer links to raw files.</w:t>
      </w:r>
    </w:p>
    <w:bookmarkEnd w:id="31"/>
    <w:bookmarkStart w:id="32" w:name="what-we-cannot-capture-and-why"/>
    <w:p>
      <w:pPr>
        <w:pStyle w:val="Heading2"/>
      </w:pPr>
      <w:r>
        <w:t xml:space="preserve">8. What we cannot capture — and why</w:t>
      </w:r>
    </w:p>
    <w:p>
      <w:pPr>
        <w:pStyle w:val="FirstParagraph"/>
      </w:pPr>
      <w:r>
        <w:t xml:space="preserve">This section identifies features that are physically important for 3DCP but cannot currently be measured</w:t>
      </w:r>
      <w:r>
        <w:t xml:space="preserve"> </w:t>
      </w:r>
      <w:r>
        <w:t xml:space="preserve">reliably. The taxonomy is intended to guide instrumentation research and future schema extensions, not to</w:t>
      </w:r>
      <w:r>
        <w:t xml:space="preserve"> </w:t>
      </w:r>
      <w:r>
        <w:t xml:space="preserve">claim the schema is complete.</w:t>
      </w:r>
    </w:p>
    <w:p>
      <w:pPr>
        <w:pStyle w:val="BodyText"/>
      </w:pPr>
      <w:r>
        <w:rPr>
          <w:b/>
          <w:bCs/>
        </w:rPr>
        <w:t xml:space="preserve">8.1 Real-time process-monitoring gaps.</w:t>
      </w:r>
      <w:r>
        <w:t xml:space="preserve"> </w:t>
      </w:r>
      <w:r>
        <w:t xml:space="preserve">The schema stores rheology as point measurements (typically a</w:t>
      </w:r>
      <w:r>
        <w:t xml:space="preserve"> </w:t>
      </w:r>
      <w:r>
        <w:t xml:space="preserve">pre-print laboratory rheometer reading), but the material’s rheological state changes continuously from</w:t>
      </w:r>
      <w:r>
        <w:t xml:space="preserve"> </w:t>
      </w:r>
      <w:r>
        <w:t xml:space="preserve">mixer through pump, hose, and nozzle; no inline rheometer exists for cementitious materials at production</w:t>
      </w:r>
      <w:r>
        <w:t xml:space="preserve"> </w:t>
      </w:r>
      <w:r>
        <w:t xml:space="preserve">scale. Pump pressure is a single scalar, yet in practice it fluctuates with consistency and toolpath</w:t>
      </w:r>
      <w:r>
        <w:t xml:space="preserve"> </w:t>
      </w:r>
      <w:r>
        <w:t xml:space="preserve">back-pressure in ways that correlate with segregation and flow discontinuities. Nozzle standoff is a</w:t>
      </w:r>
      <w:r>
        <w:t xml:space="preserve"> </w:t>
      </w:r>
      <w:r>
        <w:t xml:space="preserve">nominal value that varies with robot positioning and substrate deformation. And print-head dynamics —</w:t>
      </w:r>
      <w:r>
        <w:t xml:space="preserve"> </w:t>
      </w:r>
      <w:r>
        <w:t xml:space="preserve">acceleration, deceleration, cornering — cause local variation in deposition rate not captured by a single</w:t>
      </w:r>
      <w:r>
        <w:t xml:space="preserve"> </w:t>
      </w:r>
      <w:r>
        <w:t xml:space="preserve">print-speed value.</w:t>
      </w:r>
    </w:p>
    <w:p>
      <w:pPr>
        <w:pStyle w:val="BodyText"/>
      </w:pPr>
      <w:r>
        <w:rPr>
          <w:b/>
          <w:bCs/>
        </w:rPr>
        <w:t xml:space="preserve">8.2 In-situ material-state gaps.</w:t>
      </w:r>
      <w:r>
        <w:t xml:space="preserve"> </w:t>
      </w:r>
      <w:r>
        <w:t xml:space="preserve">The actual interlayer moisture at the moment of deposition is a</w:t>
      </w:r>
      <w:r>
        <w:t xml:space="preserve"> </w:t>
      </w:r>
      <w:r>
        <w:t xml:space="preserve">continuous field depending on ambient humidity, wind, time gap, and diffusivity; Sanjayan et al. [8]</w:t>
      </w:r>
      <w:r>
        <w:t xml:space="preserve"> </w:t>
      </w:r>
      <w:r>
        <w:t xml:space="preserve">showed it affects bond by 20–40 % and Moelich et al. [9] modeled it quantitatively, yet no standardized</w:t>
      </w:r>
      <w:r>
        <w:t xml:space="preserve"> </w:t>
      </w:r>
      <w:r>
        <w:t xml:space="preserve">protocol measures it in production. The degree of hydration at each interface forms a gradient across</w:t>
      </w:r>
      <w:r>
        <w:t xml:space="preserve"> </w:t>
      </w:r>
      <w:r>
        <w:t xml:space="preserve">layers, but the schema stores a single destructively-measured value. Fiber-orientation distribution</w:t>
      </w:r>
      <w:r>
        <w:t xml:space="preserve"> </w:t>
      </w:r>
      <w:r>
        <w:t xml:space="preserve">critically affects directional strength but can only be measured destructively by micro-CT after</w:t>
      </w:r>
      <w:r>
        <w:t xml:space="preserve"> </w:t>
      </w:r>
      <w:r>
        <w:t xml:space="preserve">hardening. Aggregate packing within the filament and the internal temperature field during exothermic</w:t>
      </w:r>
      <w:r>
        <w:t xml:space="preserve"> </w:t>
      </w:r>
      <w:r>
        <w:t xml:space="preserve">curing are likewise not measurable in-situ.</w:t>
      </w:r>
    </w:p>
    <w:p>
      <w:pPr>
        <w:pStyle w:val="BodyText"/>
      </w:pPr>
      <w:r>
        <w:rPr>
          <w:b/>
          <w:bCs/>
        </w:rPr>
        <w:t xml:space="preserve">8.3 Characterization-protocol gaps.</w:t>
      </w:r>
      <w:r>
        <w:t xml:space="preserve"> </w:t>
      </w:r>
      <w:r>
        <w:t xml:space="preserve">Interlayer void fraction requires destructive cross-sectional</w:t>
      </w:r>
      <w:r>
        <w:t xml:space="preserve"> </w:t>
      </w:r>
      <w:r>
        <w:t xml:space="preserve">imaging with no standardized analysis; surface roughness at layer interfaces has no standard protocol for</w:t>
      </w:r>
      <w:r>
        <w:t xml:space="preserve"> </w:t>
      </w:r>
      <w:r>
        <w:t xml:space="preserve">3DCP; and ambient conditions reported as room averages may differ from the point of deposition in</w:t>
      </w:r>
      <w:r>
        <w:t xml:space="preserve"> </w:t>
      </w:r>
      <w:r>
        <w:t xml:space="preserve">large-scale or outdoor printing.</w:t>
      </w:r>
    </w:p>
    <w:p>
      <w:pPr>
        <w:pStyle w:val="BodyText"/>
      </w:pPr>
      <w:r>
        <w:rPr>
          <w:b/>
          <w:bCs/>
        </w:rPr>
        <w:t xml:space="preserve">8.4 Process inputs not yet captured.</w:t>
      </w:r>
      <w:r>
        <w:t xml:space="preserve"> </w:t>
      </w:r>
      <w:r>
        <w:t xml:space="preserve">Beyond the real-time signals above, several extrusion-process</w:t>
      </w:r>
      <w:r>
        <w:t xml:space="preserve"> </w:t>
      </w:r>
      <w:r>
        <w:rPr>
          <w:i/>
          <w:iCs/>
        </w:rPr>
        <w:t xml:space="preserve">inputs</w:t>
      </w:r>
      <w:r>
        <w:t xml:space="preserve"> </w:t>
      </w:r>
      <w:r>
        <w:t xml:space="preserve">an operator sets are not yet schema columns. The priority gap is</w:t>
      </w:r>
      <w:r>
        <w:t xml:space="preserve"> </w:t>
      </w:r>
      <w:r>
        <w:rPr>
          <w:b/>
          <w:bCs/>
        </w:rPr>
        <w:t xml:space="preserve">in-line accelerator dosing at</w:t>
      </w:r>
      <w:r>
        <w:rPr>
          <w:b/>
          <w:bCs/>
        </w:rPr>
        <w:t xml:space="preserve"> </w:t>
      </w:r>
      <w:r>
        <w:rPr>
          <w:b/>
          <w:bCs/>
        </w:rPr>
        <w:t xml:space="preserve">the print head</w:t>
      </w:r>
      <w:r>
        <w:t xml:space="preserve"> </w:t>
      </w:r>
      <w:r>
        <w:t xml:space="preserve">(set-on-demand): on dosing-pump systems it is the control variable an operator tunes to</w:t>
      </w:r>
      <w:r>
        <w:t xml:space="preserve"> </w:t>
      </w:r>
      <w:r>
        <w:t xml:space="preserve">keep the print standing, and a record without it omits the knob that most directly sets buildability —</w:t>
      </w:r>
      <w:r>
        <w:t xml:space="preserve"> </w:t>
      </w:r>
      <w:r>
        <w:t xml:space="preserve">today only</w:t>
      </w:r>
      <w:r>
        <w:t xml:space="preserve"> </w:t>
      </w:r>
      <w:r>
        <w:rPr>
          <w:rStyle w:val="VerbatimChar"/>
        </w:rPr>
        <w:t xml:space="preserve">admixture_addition_point</w:t>
      </w:r>
      <w:r>
        <w:t xml:space="preserve"> </w:t>
      </w:r>
      <w:r>
        <w:t xml:space="preserve">and the bulk</w:t>
      </w:r>
      <w:r>
        <w:t xml:space="preserve"> </w:t>
      </w:r>
      <w:r>
        <w:rPr>
          <w:rStyle w:val="VerbatimChar"/>
        </w:rPr>
        <w:t xml:space="preserve">accelerator</w:t>
      </w:r>
      <w:r>
        <w:t xml:space="preserve"> </w:t>
      </w:r>
      <w:r>
        <w:t xml:space="preserve">column hint at it. Next in line:</w:t>
      </w:r>
      <w:r>
        <w:t xml:space="preserve"> </w:t>
      </w:r>
      <w:r>
        <w:rPr>
          <w:b/>
          <w:bCs/>
        </w:rPr>
        <w:t xml:space="preserve">material age at deposition and on-site retempering</w:t>
      </w:r>
      <w:r>
        <w:t xml:space="preserve"> </w:t>
      </w:r>
      <w:r>
        <w:t xml:space="preserve">(water or admixture added as the hopper ages, which</w:t>
      </w:r>
      <w:r>
        <w:t xml:space="preserve"> </w:t>
      </w:r>
      <w:r>
        <w:t xml:space="preserve">silently moves the as-deposited w/b away from the batch ticket), print-head auger / screw extruder speed</w:t>
      </w:r>
      <w:r>
        <w:t xml:space="preserve"> </w:t>
      </w:r>
      <w:r>
        <w:t xml:space="preserve">(distinct from the bulk-mixer speed the schema records), colorant / pigment dosing, and vibratory-assist</w:t>
      </w:r>
      <w:r>
        <w:t xml:space="preserve"> </w:t>
      </w:r>
      <w:r>
        <w:t xml:space="preserve">or compaction modules — alongside nozzle standoff, print acceleration / jerk, and surface dehydration of</w:t>
      </w:r>
      <w:r>
        <w:t xml:space="preserve"> </w:t>
      </w:r>
      <w:r>
        <w:t xml:space="preserve">the resting layer (the dominant interlayer-bond control) (Figure 3, annex). These are an explicit</w:t>
      </w:r>
      <w:r>
        <w:t xml:space="preserve"> </w:t>
      </w:r>
      <w:r>
        <w:t xml:space="preserve">future-work agenda; the schema extends additively as they are specified.</w:t>
      </w:r>
    </w:p>
    <w:p>
      <w:pPr>
        <w:pStyle w:val="BodyText"/>
      </w:pPr>
      <w:r>
        <w:rPr>
          <w:b/>
          <w:bCs/>
        </w:rPr>
        <w:t xml:space="preserve">8.5 The digital-twin horizon.</w:t>
      </w:r>
      <w:r>
        <w:t xml:space="preserve"> </w:t>
      </w:r>
      <w:r>
        <w:t xml:space="preserve">A complete twin would require on the order of 300+ parameters,</w:t>
      </w:r>
      <w:r>
        <w:t xml:space="preserve"> </w:t>
      </w:r>
      <w:r>
        <w:t xml:space="preserve">including time-series data that cannot be represented as scalar columns. Open3DCP captures the formulation, process, and performance layers of a record well, plus a useful part</w:t>
      </w:r>
      <w:r>
        <w:t xml:space="preserve"> </w:t>
      </w:r>
      <w:r>
        <w:t xml:space="preserve">of the in-situ state layer; the largest remaining gap is the real-time process data that current hardware</w:t>
      </w:r>
      <w:r>
        <w:t xml:space="preserve"> </w:t>
      </w:r>
      <w:r>
        <w:t xml:space="preserve">does not routinely capture. As sensor technology improves — inline rheometers, thermal imaging tied to print-head motion,</w:t>
      </w:r>
      <w:r>
        <w:t xml:space="preserve"> </w:t>
      </w:r>
      <w:r>
        <w:t xml:space="preserve">machine vision for filament geometry — the flat schema can extend additively without breaking existing</w:t>
      </w:r>
      <w:r>
        <w:t xml:space="preserve"> </w:t>
      </w:r>
      <w:r>
        <w:t xml:space="preserve">queries. The gap analysis is not a criticism of the schema’s completeness:</w:t>
      </w:r>
      <w:r>
        <w:t xml:space="preserve"> </w:t>
      </w:r>
      <w:r>
        <w:rPr>
          <w:b/>
          <w:bCs/>
        </w:rPr>
        <w:t xml:space="preserve">the features we</w:t>
      </w:r>
      <w:r>
        <w:rPr>
          <w:b/>
          <w:bCs/>
        </w:rPr>
        <w:t xml:space="preserve"> </w:t>
      </w:r>
      <w:r>
        <w:rPr>
          <w:b/>
          <w:bCs/>
        </w:rPr>
        <w:t xml:space="preserve">cannot measure today are, in many cases, the features that most limit a complete characterization of the</w:t>
      </w:r>
      <w:r>
        <w:rPr>
          <w:b/>
          <w:bCs/>
        </w:rPr>
        <w:t xml:space="preserve"> </w:t>
      </w:r>
      <w:r>
        <w:rPr>
          <w:b/>
          <w:bCs/>
        </w:rPr>
        <w:t xml:space="preserve">printed material</w:t>
      </w:r>
      <w:r>
        <w:t xml:space="preserve">, and closing these gaps requires instrumentation, not schema design.</w:t>
      </w:r>
    </w:p>
    <w:bookmarkEnd w:id="32"/>
    <w:bookmarkStart w:id="36" w:name="adoption-path-and-community"/>
    <w:p>
      <w:pPr>
        <w:pStyle w:val="Heading2"/>
      </w:pPr>
      <w:r>
        <w:t xml:space="preserve">9. Adoption path and community</w:t>
      </w:r>
    </w:p>
    <w:p>
      <w:pPr>
        <w:pStyle w:val="FirstParagraph"/>
      </w:pPr>
      <w:r>
        <w:t xml:space="preserve">Adoption does not require populating every column — null columns are ignored during analysis. A</w:t>
      </w:r>
      <w:r>
        <w:t xml:space="preserve"> </w:t>
      </w:r>
      <w:r>
        <w:t xml:space="preserve">laboratory can adopt the schema by (1) mapping local column names to canonical Open3DCP names; (2)</w:t>
      </w:r>
      <w:r>
        <w:t xml:space="preserve"> </w:t>
      </w:r>
      <w:r>
        <w:t xml:space="preserve">recording material quantities with the source basis preserved (</w:t>
      </w:r>
      <w:r>
        <w:rPr>
          <w:rStyle w:val="VerbatimChar"/>
        </w:rPr>
        <w:t xml:space="preserve">original_basis</w:t>
      </w:r>
      <w:r>
        <w:t xml:space="preserve">) so kg/m³ ↔ mass-percent</w:t>
      </w:r>
      <w:r>
        <w:t xml:space="preserve"> </w:t>
      </w:r>
      <w:r>
        <w:t xml:space="preserve">remains exact; (3) preserving missing values as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and using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only for explicit zeros; (4) filling</w:t>
      </w:r>
      <w:r>
        <w:t xml:space="preserve"> </w:t>
      </w:r>
      <w:r>
        <w:t xml:space="preserve">provenance fields before analysis fields; (5) recording test method, specimen geometry, age, and</w:t>
      </w:r>
      <w:r>
        <w:t xml:space="preserve"> </w:t>
      </w:r>
      <w:r>
        <w:t xml:space="preserve">orientation for every mechanical result; (6) depositing the dataset in a public repository when rights</w:t>
      </w:r>
      <w:r>
        <w:t xml:space="preserve"> </w:t>
      </w:r>
      <w:r>
        <w:t xml:space="preserve">allow; and (7) citing the schema and the original test methods. The flat schema is database-agnostic</w:t>
      </w:r>
      <w:r>
        <w:t xml:space="preserve"> </w:t>
      </w:r>
      <w:r>
        <w:t xml:space="preserve">(PostgreSQL, SQLite, CSV, Parquet, pandas/polars/R) and pairs naturally with standard ML libraries for an</w:t>
      </w:r>
      <w:r>
        <w:t xml:space="preserve"> </w:t>
      </w:r>
      <w:r>
        <w:t xml:space="preserve">end-to-end, open-source pipeline. By design it is</w:t>
      </w:r>
      <w:r>
        <w:t xml:space="preserve"> </w:t>
      </w:r>
      <w:r>
        <w:rPr>
          <w:b/>
          <w:bCs/>
        </w:rPr>
        <w:t xml:space="preserve">FAIR-aligned</w:t>
      </w:r>
      <w:r>
        <w:t xml:space="preserve"> </w:t>
      </w:r>
      <w:r>
        <w:t xml:space="preserve">[18]: every record carries a DOI or</w:t>
      </w:r>
      <w:r>
        <w:t xml:space="preserve"> </w:t>
      </w:r>
      <w:r>
        <w:t xml:space="preserve">citation (Findable), the schema is open under Apache-2.0 (Accessible), naming follows ASTM/EN/RILEM with</w:t>
      </w:r>
      <w:r>
        <w:t xml:space="preserve"> </w:t>
      </w:r>
      <w:r>
        <w:t xml:space="preserve">SI units and controlled vocabularies (Interoperable), and the license plus provenance metadata supports</w:t>
      </w:r>
      <w:r>
        <w:t xml:space="preserve"> </w:t>
      </w:r>
      <w:r>
        <w:t xml:space="preserve">reuse (Reusable).</w:t>
      </w:r>
    </w:p>
    <w:p>
      <w:pPr>
        <w:pStyle w:val="BodyText"/>
      </w:pPr>
      <w:r>
        <w:t xml:space="preserve">Because most of the schema is shared with conventional concrete (§6), Open3DCP interoperates closely with</w:t>
      </w:r>
      <w:r>
        <w:t xml:space="preserve"> </w:t>
      </w:r>
      <w:r>
        <w:t xml:space="preserve">a normalized relational concrete database (Figure 6). Material composition and test results map</w:t>
      </w:r>
      <w:r>
        <w:t xml:space="preserve"> </w:t>
      </w:r>
      <w:r>
        <w:t xml:space="preserve">both ways — exactly for ages, geometry, and ratios; with a recorded density for the kg/m³ ↔ mass-percent</w:t>
      </w:r>
      <w:r>
        <w:t xml:space="preserve"> </w:t>
      </w:r>
      <w:r>
        <w:t xml:space="preserve">step. The correlation is close but the round-trip is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lossless: relational structure that a flat row</w:t>
      </w:r>
      <w:r>
        <w:t xml:space="preserve"> </w:t>
      </w:r>
      <w:r>
        <w:t xml:space="preserve">cannot hold (parametrized geometry, reinforcement layouts, devices, loading histories) collapses to a</w:t>
      </w:r>
      <w:r>
        <w:t xml:space="preserve"> </w:t>
      </w:r>
      <w:r>
        <w:t xml:space="preserve">side record, and the extrusion-3DCP process and interlayer columns have no conventional relational table</w:t>
      </w:r>
      <w:r>
        <w:t xml:space="preserve"> </w:t>
      </w:r>
      <w:r>
        <w:t xml:space="preserve">to map into. Stating these boundaries is what makes the mapping auditable rather than asserted.</w:t>
      </w:r>
    </w:p>
    <w:p>
      <w:pPr>
        <w:pStyle w:val="CaptionedFigure"/>
      </w:pPr>
      <w:r>
        <w:drawing>
          <wp:inline>
            <wp:extent cx="5334000" cy="4147115"/>
            <wp:effectExtent b="0" l="0" r="0" t="0"/>
            <wp:docPr descr="Interoperability with a normalized relational concrete database. Material and test data map both ways by fidelity class (exact / lossy / categorical); the round-trip is not lossless — relational structure (geometry, reinforcement, devices, loading history) collapses to a side record, and the extrusion-3DCP block has no conventional relational counterpart." title="" id="34" name="Picture"/>
            <a:graphic>
              <a:graphicData uri="http://schemas.openxmlformats.org/drawingml/2006/picture">
                <pic:pic>
                  <pic:nvPicPr>
                    <pic:cNvPr descr="figures/fig6_crosswalk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471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Interoperability with a normalized relational concrete database. Material and test data map both ways by fidelity class (exact / lossy / categorical); the round-trip is not lossless — relational structure (geometry, reinforcement, devices, loading history) collapses to a side record, and the extrusion-3DCP block has no conventional relational counterpart.</w:t>
      </w:r>
    </w:p>
    <w:p>
      <w:pPr>
        <w:pStyle w:val="BodyText"/>
      </w:pPr>
      <w:r>
        <w:t xml:space="preserve">We invite the 3DCP community to adopt common column names and units in published</w:t>
      </w:r>
      <w:r>
        <w:t xml:space="preserve"> </w:t>
      </w:r>
      <w:r>
        <w:t xml:space="preserve">datasets — even partial adoption of shared names for fields like</w:t>
      </w:r>
      <w:r>
        <w:t xml:space="preserve"> </w:t>
      </w:r>
      <w:r>
        <w:rPr>
          <w:rStyle w:val="VerbatimChar"/>
        </w:rPr>
        <w:t xml:space="preserve">compressive_strength_mpa</w:t>
      </w:r>
      <w:r>
        <w:t xml:space="preserve">,</w:t>
      </w:r>
      <w:r>
        <w:t xml:space="preserve"> </w:t>
      </w:r>
      <w:r>
        <w:rPr>
          <w:rStyle w:val="VerbatimChar"/>
        </w:rPr>
        <w:t xml:space="preserve">w_b_ratio</w:t>
      </w:r>
      <w:r>
        <w:t xml:space="preserve">,</w:t>
      </w:r>
      <w:r>
        <w:t xml:space="preserve"> </w:t>
      </w:r>
      <w:r>
        <w:rPr>
          <w:rStyle w:val="VerbatimChar"/>
        </w:rPr>
        <w:t xml:space="preserve">layer_height_mm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test_orientation_code</w:t>
      </w:r>
      <w:r>
        <w:t xml:space="preserve"> </w:t>
      </w:r>
      <w:r>
        <w:t xml:space="preserve">would sharply reduce the effort of combining datasets — and</w:t>
      </w:r>
      <w:r>
        <w:t xml:space="preserve"> </w:t>
      </w:r>
      <w:r>
        <w:t xml:space="preserve">we encourage standards bodies and the community to evaluate Open3DCP (or a derivative) as one input to future 3DCP data-reporting practice,</w:t>
      </w:r>
      <w:r>
        <w:t xml:space="preserve"> </w:t>
      </w:r>
      <w:r>
        <w:t xml:space="preserve">extending the RILEM TC 304-ADC database approach [14] from interlaboratory studies to routine publication.</w:t>
      </w:r>
    </w:p>
    <w:bookmarkEnd w:id="36"/>
    <w:bookmarkStart w:id="37" w:name="limitations"/>
    <w:p>
      <w:pPr>
        <w:pStyle w:val="Heading2"/>
      </w:pPr>
      <w:r>
        <w:t xml:space="preserve">10. Limitations</w:t>
      </w:r>
    </w:p>
    <w:p>
      <w:pPr>
        <w:pStyle w:val="FirstParagraph"/>
      </w:pPr>
      <w:r>
        <w:t xml:space="preserve">These limitations bound the claims above; §11 maps each to planned work.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Coverage is a v1.7.5 snapshot.</w:t>
      </w:r>
      <w:r>
        <w:t xml:space="preserve"> </w:t>
      </w:r>
      <w:r>
        <w:t xml:space="preserve">The 248-column count and per-category figures reflect</w:t>
      </w:r>
      <w:r>
        <w:t xml:space="preserve"> </w:t>
      </w:r>
      <w:r>
        <w:rPr>
          <w:rStyle w:val="VerbatimChar"/>
        </w:rPr>
        <w:t xml:space="preserve">sql/create_tables.sql</w:t>
      </w:r>
      <w:r>
        <w:t xml:space="preserve"> </w:t>
      </w:r>
      <w:r>
        <w:t xml:space="preserve">at v1.7.5; the schema is under active, additive development and these numbers</w:t>
      </w:r>
      <w:r>
        <w:t xml:space="preserve"> </w:t>
      </w:r>
      <w:r>
        <w:t xml:space="preserve">evolve. The canonical reference is always the repository.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Single-maintainer governance and unquantified curation reliability.</w:t>
      </w:r>
      <w:r>
        <w:t xml:space="preserve"> </w:t>
      </w:r>
      <w:r>
        <w:t xml:space="preserve">The schema and its controlled</w:t>
      </w:r>
      <w:r>
        <w:t xml:space="preserve"> </w:t>
      </w:r>
      <w:r>
        <w:t xml:space="preserve">vocabularies are maintained by one author; column choices and any scoring conventions are an expert</w:t>
      </w:r>
      <w:r>
        <w:t xml:space="preserve"> </w:t>
      </w:r>
      <w:r>
        <w:t xml:space="preserve">convention, not yet ratified by a working group or calibrated against a labelled benchmark. The</w:t>
      </w:r>
      <w:r>
        <w:t xml:space="preserve"> </w:t>
      </w:r>
      <w:r>
        <w:t xml:space="preserve">reliability of human curation —</w:t>
      </w:r>
      <w:r>
        <w:t xml:space="preserve"> </w:t>
      </w:r>
      <w:r>
        <w:rPr>
          <w:rStyle w:val="VerbatimChar"/>
        </w:rPr>
        <w:t xml:space="preserve">NULL</w:t>
      </w:r>
      <w:r>
        <w:t xml:space="preserve">-vs-</w:t>
      </w:r>
      <w:r>
        <w:rPr>
          <w:rStyle w:val="VerbatimChar"/>
        </w:rPr>
        <w:t xml:space="preserve">0</w:t>
      </w:r>
      <w:r>
        <w:t xml:space="preserve"> </w:t>
      </w:r>
      <w:r>
        <w:t xml:space="preserve">judgements, confidence flags, basis assignment, and the</w:t>
      </w:r>
      <w:r>
        <w:t xml:space="preserve"> </w:t>
      </w:r>
      <w:r>
        <w:t xml:space="preserve">resolution of conflicting or duplicate source values — is likewise not yet quantified (no</w:t>
      </w:r>
      <w:r>
        <w:t xml:space="preserve"> </w:t>
      </w:r>
      <w:r>
        <w:t xml:space="preserve">inter-curator agreement study).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The measurement-gap taxonomy is qualitative.</w:t>
      </w:r>
      <w:r>
        <w:t xml:space="preserve"> </w:t>
      </w:r>
      <w:r>
        <w:t xml:space="preserve">§8 names gaps and their physical importance but does</w:t>
      </w:r>
      <w:r>
        <w:t xml:space="preserve"> </w:t>
      </w:r>
      <w:r>
        <w:t xml:space="preserve">not quantify how much each would improve a model; that ordering awaits feature-ablation studies on</w:t>
      </w:r>
      <w:r>
        <w:t xml:space="preserve"> </w:t>
      </w:r>
      <w:r>
        <w:t xml:space="preserve">datasets built with the schema.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Typical ranges and orientation orderings are indicative</w:t>
      </w:r>
      <w:r>
        <w:t xml:space="preserve">, not gates, and not yet sourced to a fixed</w:t>
      </w:r>
      <w:r>
        <w:t xml:space="preserve"> </w:t>
      </w:r>
      <w:r>
        <w:t xml:space="preserve">citation set; Table 1’s strength ordering is typical, not measured here.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Adoption at scale is unproven, and pooled modeling carries stated traps.</w:t>
      </w:r>
      <w:r>
        <w:t xml:space="preserve"> </w:t>
      </w:r>
      <w:r>
        <w:t xml:space="preserve">Cross-dataset</w:t>
      </w:r>
      <w:r>
        <w:t xml:space="preserve"> </w:t>
      </w:r>
      <w:r>
        <w:t xml:space="preserve">interoperability is asserted by design; no large, heterogeneous, multi-source corpus has yet been</w:t>
      </w:r>
      <w:r>
        <w:t xml:space="preserve"> </w:t>
      </w:r>
      <w:r>
        <w:t xml:space="preserve">assembled and modeled end-to-end on the public schema — the committed demonstration totals roughly</w:t>
      </w:r>
      <w:r>
        <w:t xml:space="preserve"> </w:t>
      </w:r>
      <w:r>
        <w:t xml:space="preserve">seventy rows across five sources, an interoperability proof, not a trainable corpus. Anyone pooling</w:t>
      </w:r>
      <w:r>
        <w:t xml:space="preserve"> </w:t>
      </w:r>
      <w:r>
        <w:t xml:space="preserve">records should treat the source/laboratory as a covariate (premixes, specimen geometries, and protocols</w:t>
      </w:r>
      <w:r>
        <w:t xml:space="preserve"> </w:t>
      </w:r>
      <w:r>
        <w:t xml:space="preserve">differ across sources — a textbook confounding setup), and should note that several columns are</w:t>
      </w:r>
      <w:r>
        <w:t xml:space="preserve"> </w:t>
      </w:r>
      <w:r>
        <w:rPr>
          <w:i/>
          <w:iCs/>
        </w:rPr>
        <w:t xml:space="preserve">records</w:t>
      </w:r>
      <w:r>
        <w:t xml:space="preserve">, not model features:</w:t>
      </w:r>
      <w:r>
        <w:t xml:space="preserve"> </w:t>
      </w:r>
      <w:r>
        <w:rPr>
          <w:rStyle w:val="VerbatimChar"/>
        </w:rPr>
        <w:t xml:space="preserve">design_strength_mpa</w:t>
      </w:r>
      <w:r>
        <w:t xml:space="preserve"> </w:t>
      </w:r>
      <w:r>
        <w:t xml:space="preserve">leaks the strength target, the derived ratios are</w:t>
      </w:r>
      <w:r>
        <w:t xml:space="preserve"> </w:t>
      </w:r>
      <w:r>
        <w:t xml:space="preserve">collinear with their inputs, and the dual-basis pair encodes the same composition twice. The quality</w:t>
      </w:r>
      <w:r>
        <w:t xml:space="preserve"> </w:t>
      </w:r>
      <w:r>
        <w:t xml:space="preserve">flags (</w:t>
      </w:r>
      <w:r>
        <w:rPr>
          <w:rStyle w:val="VerbatimChar"/>
        </w:rPr>
        <w:t xml:space="preserve">is_training_ready</w:t>
      </w:r>
      <w:r>
        <w:t xml:space="preserve">,</w:t>
      </w:r>
      <w:r>
        <w:t xml:space="preserve"> </w:t>
      </w:r>
      <w:r>
        <w:rPr>
          <w:rStyle w:val="VerbatimChar"/>
        </w:rPr>
        <w:t xml:space="preserve">is_synthetic</w:t>
      </w:r>
      <w:r>
        <w:t xml:space="preserve">,</w:t>
      </w:r>
      <w:r>
        <w:t xml:space="preserve"> </w:t>
      </w:r>
      <w:r>
        <w:rPr>
          <w:rStyle w:val="VerbatimChar"/>
        </w:rPr>
        <w:t xml:space="preserve">outlier_flag</w:t>
      </w:r>
      <w:r>
        <w:t xml:space="preserve">) are defined but deliberately not set in the</w:t>
      </w:r>
      <w:r>
        <w:t xml:space="preserve"> </w:t>
      </w:r>
      <w:r>
        <w:t xml:space="preserve">demonstration excerpts; the quality gate that sets them is future work.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The schema is not a substitute for validation.</w:t>
      </w:r>
      <w:r>
        <w:t xml:space="preserve"> </w:t>
      </w:r>
      <w:r>
        <w:t xml:space="preserve">It records what was done and measured; it does not</w:t>
      </w:r>
      <w:r>
        <w:t xml:space="preserve"> </w:t>
      </w:r>
      <w:r>
        <w:t xml:space="preserve">certify structures, validate models, or establish that a mix is printable, durable, or safe.</w:t>
      </w:r>
    </w:p>
    <w:bookmarkEnd w:id="37"/>
    <w:bookmarkStart w:id="38" w:name="future-work"/>
    <w:p>
      <w:pPr>
        <w:pStyle w:val="Heading2"/>
      </w:pPr>
      <w:r>
        <w:t xml:space="preserve">11. Future work</w:t>
      </w:r>
    </w:p>
    <w:p>
      <w:pPr>
        <w:pStyle w:val="Compact"/>
        <w:numPr>
          <w:ilvl w:val="0"/>
          <w:numId w:val="1008"/>
        </w:numPr>
      </w:pPr>
      <w:r>
        <w:t xml:space="preserve">Assemble and publish a</w:t>
      </w:r>
      <w:r>
        <w:t xml:space="preserve"> </w:t>
      </w:r>
      <w:r>
        <w:rPr>
          <w:b/>
          <w:bCs/>
        </w:rPr>
        <w:t xml:space="preserve">multi-source corpus</w:t>
      </w:r>
      <w:r>
        <w:t xml:space="preserve"> </w:t>
      </w:r>
      <w:r>
        <w:t xml:space="preserve">on the public schema and report cross-dataset model</w:t>
      </w:r>
      <w:r>
        <w:t xml:space="preserve"> </w:t>
      </w:r>
      <w:r>
        <w:t xml:space="preserve">performance and the data-coverage distribution across the CPPC categories.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Validate the source-to-schema mapping</w:t>
      </w:r>
      <w:r>
        <w:t xml:space="preserve"> </w:t>
      </w:r>
      <w:r>
        <w:t xml:space="preserve">— tie any fidelity scoring of the mapping to a labelled</w:t>
      </w:r>
      <w:r>
        <w:t xml:space="preserve"> </w:t>
      </w:r>
      <w:r>
        <w:t xml:space="preserve">benchmark or a measured downstream consequence, and add a sensitivity analysis.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Quantify the measurement gaps</w:t>
      </w:r>
      <w:r>
        <w:t xml:space="preserve"> </w:t>
      </w:r>
      <w:r>
        <w:t xml:space="preserve">of §8 through feature-ablation studies, converting the qualitative</w:t>
      </w:r>
      <w:r>
        <w:t xml:space="preserve"> </w:t>
      </w:r>
      <w:r>
        <w:t xml:space="preserve">taxonomy into a ranked instrumentation agenda.</w:t>
      </w:r>
    </w:p>
    <w:p>
      <w:pPr>
        <w:pStyle w:val="Compact"/>
        <w:numPr>
          <w:ilvl w:val="0"/>
          <w:numId w:val="1008"/>
        </w:numPr>
      </w:pPr>
      <w:r>
        <w:t xml:space="preserve">Move governance toward a</w:t>
      </w:r>
      <w:r>
        <w:t xml:space="preserve"> </w:t>
      </w:r>
      <w:r>
        <w:rPr>
          <w:b/>
          <w:bCs/>
        </w:rPr>
        <w:t xml:space="preserve">working-group / standards process</w:t>
      </w:r>
      <w:r>
        <w:t xml:space="preserve"> </w:t>
      </w:r>
      <w:r>
        <w:t xml:space="preserve">(with RILEM, ACI, or ASTM) so the</w:t>
      </w:r>
      <w:r>
        <w:t xml:space="preserve"> </w:t>
      </w:r>
      <w:r>
        <w:t xml:space="preserve">vocabulary and grade bands are community-ratified rather than single-author conventions.</w:t>
      </w:r>
    </w:p>
    <w:p>
      <w:pPr>
        <w:pStyle w:val="Compact"/>
        <w:numPr>
          <w:ilvl w:val="0"/>
          <w:numId w:val="1008"/>
        </w:numPr>
      </w:pPr>
      <w:r>
        <w:t xml:space="preserve">Extend additively as instrumentation matures (inline rheometry, thermal imaging, machine vision),</w:t>
      </w:r>
      <w:r>
        <w:t xml:space="preserve"> </w:t>
      </w:r>
      <w:r>
        <w:t xml:space="preserve">keeping the flat-schema backward-compatibility guarantee.</w:t>
      </w:r>
    </w:p>
    <w:bookmarkEnd w:id="38"/>
    <w:bookmarkStart w:id="39" w:name="data-and-code-availability"/>
    <w:p>
      <w:pPr>
        <w:pStyle w:val="Heading2"/>
      </w:pPr>
      <w:r>
        <w:t xml:space="preserve">12. Data and code availability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Schema &amp; tooling:</w:t>
      </w:r>
      <w:r>
        <w:t xml:space="preserve"> </w:t>
      </w:r>
      <w:r>
        <w:t xml:space="preserve">Open3DCP v1.7.5 [45] —</w:t>
      </w:r>
      <w:r>
        <w:t xml:space="preserve"> </w:t>
      </w:r>
      <w:r>
        <w:rPr>
          <w:rStyle w:val="VerbatimChar"/>
        </w:rPr>
        <w:t xml:space="preserve">github.com/sunnyday-technologies/Open3DCP</w:t>
      </w:r>
      <w:r>
        <w:t xml:space="preserve"> </w:t>
      </w:r>
      <w:r>
        <w:t xml:space="preserve">(Apache-2.0); Zenodo</w:t>
      </w:r>
      <w:r>
        <w:t xml:space="preserve"> </w:t>
      </w:r>
      <w:r>
        <w:t xml:space="preserve">concept DOI</w:t>
      </w:r>
      <w:r>
        <w:t xml:space="preserve"> </w:t>
      </w:r>
      <w:r>
        <w:rPr>
          <w:rStyle w:val="VerbatimChar"/>
        </w:rPr>
        <w:t xml:space="preserve">10.5281/zenodo.19647470</w:t>
      </w:r>
      <w:r>
        <w:t xml:space="preserve"> </w:t>
      </w:r>
      <w:r>
        <w:t xml:space="preserve">(resolves to the latest</w:t>
      </w:r>
      <w:r>
        <w:t xml:space="preserve"> </w:t>
      </w:r>
      <w:r>
        <w:rPr>
          <w:i/>
          <w:iCs/>
        </w:rPr>
        <w:t xml:space="preserve">published</w:t>
      </w:r>
      <w:r>
        <w:t xml:space="preserve"> </w:t>
      </w:r>
      <w:r>
        <w:t xml:space="preserve">Zenodo version — currently</w:t>
      </w:r>
      <w:r>
        <w:t xml:space="preserve"> </w:t>
      </w:r>
      <w:r>
        <w:t xml:space="preserve">v1.6.0; the v1.7 described here is the working draft pending its Zenodo release). The canonical</w:t>
      </w:r>
      <w:r>
        <w:t xml:space="preserve"> </w:t>
      </w:r>
      <w:r>
        <w:t xml:space="preserve">column list is</w:t>
      </w:r>
      <w:r>
        <w:t xml:space="preserve"> </w:t>
      </w:r>
      <w:r>
        <w:rPr>
          <w:rStyle w:val="VerbatimChar"/>
        </w:rPr>
        <w:t xml:space="preserve">Open3DCP_SCHEMA.md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sql/create_tables.sql</w:t>
      </w:r>
      <w:r>
        <w:t xml:space="preserve">; companion tables include</w:t>
      </w:r>
      <w:r>
        <w:t xml:space="preserve"> </w:t>
      </w:r>
      <w:r>
        <w:rPr>
          <w:rStyle w:val="VerbatimChar"/>
        </w:rPr>
        <w:t xml:space="preserve">strength_measurements</w:t>
      </w:r>
      <w:r>
        <w:t xml:space="preserve">,</w:t>
      </w:r>
      <w:r>
        <w:t xml:space="preserve"> </w:t>
      </w:r>
      <w:r>
        <w:rPr>
          <w:rStyle w:val="VerbatimChar"/>
        </w:rPr>
        <w:t xml:space="preserve">sources</w:t>
      </w:r>
      <w:r>
        <w:t xml:space="preserve">,</w:t>
      </w:r>
      <w:r>
        <w:t xml:space="preserve"> </w:t>
      </w:r>
      <w:r>
        <w:rPr>
          <w:rStyle w:val="VerbatimChar"/>
        </w:rPr>
        <w:t xml:space="preserve">test_methods</w:t>
      </w:r>
      <w:r>
        <w:t xml:space="preserve">,</w:t>
      </w:r>
      <w:r>
        <w:t xml:space="preserve"> </w:t>
      </w:r>
      <w:r>
        <w:rPr>
          <w:rStyle w:val="VerbatimChar"/>
        </w:rPr>
        <w:t xml:space="preserve">curing_regimes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material_aliases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Reproducing the figures:</w:t>
      </w:r>
      <w:r>
        <w:t xml:space="preserve"> </w:t>
      </w:r>
      <w:r>
        <w:t xml:space="preserve">the column counts in Figures 2 and 4 are parsed from</w:t>
      </w:r>
      <w:r>
        <w:t xml:space="preserve"> </w:t>
      </w:r>
      <w:r>
        <w:rPr>
          <w:rStyle w:val="VerbatimChar"/>
        </w:rPr>
        <w:t xml:space="preserve">sql/create_tables.sql</w:t>
      </w:r>
      <w:r>
        <w:t xml:space="preserve">, the schema’s single source of truth; the figures are regenerated by the</w:t>
      </w:r>
      <w:r>
        <w:t xml:space="preserve"> </w:t>
      </w:r>
      <w:r>
        <w:t xml:space="preserve">committed figure scripts (matplotlib, PNG ≥ 200 dpi + SVG).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Supporting material:</w:t>
      </w:r>
      <w:r>
        <w:t xml:space="preserve"> </w:t>
      </w:r>
      <w:r>
        <w:t xml:space="preserve">a machine-readable crosswalk to a normalized relational concrete database and</w:t>
      </w:r>
      <w:r>
        <w:t xml:space="preserve"> </w:t>
      </w:r>
      <w:r>
        <w:t xml:space="preserve">a specification of the 3DCP process-parameter columns are included in the repository.</w:t>
      </w:r>
    </w:p>
    <w:bookmarkEnd w:id="39"/>
    <w:bookmarkStart w:id="41" w:name="manuscript-license-and-author-statements"/>
    <w:p>
      <w:pPr>
        <w:pStyle w:val="Heading2"/>
      </w:pPr>
      <w:r>
        <w:t xml:space="preserve">13. Manuscript license and author statements</w:t>
      </w:r>
    </w:p>
    <w:p>
      <w:pPr>
        <w:pStyle w:val="FirstParagraph"/>
      </w:pPr>
      <w:r>
        <w:rPr>
          <w:b/>
          <w:bCs/>
        </w:rPr>
        <w:t xml:space="preserve">Manuscript license.</w:t>
      </w:r>
      <w:r>
        <w:t xml:space="preserve"> </w:t>
      </w:r>
      <w:r>
        <w:t xml:space="preserve">Copyright © 2026 Sunnyday Technologies LLC and Nicholas Sonnentag. This</w:t>
      </w:r>
      <w:r>
        <w:t xml:space="preserve"> </w:t>
      </w:r>
      <w:r>
        <w:t xml:space="preserve">manuscript is licensed under CC BY 4.0 (</w:t>
      </w:r>
      <w:hyperlink r:id="rId40">
        <w:r>
          <w:rPr>
            <w:rStyle w:val="Hyperlink"/>
          </w:rPr>
          <w:t xml:space="preserve">https://creativecommons.org/licenses/by/4.0/</w:t>
        </w:r>
      </w:hyperlink>
      <w:r>
        <w:t xml:space="preserve">). The Open3DCP</w:t>
      </w:r>
      <w:r>
        <w:t xml:space="preserve"> </w:t>
      </w:r>
      <w:r>
        <w:t xml:space="preserve">schema, SQL definitions, machine-readable metadata, and repository artifacts remain under the Apache</w:t>
      </w:r>
      <w:r>
        <w:t xml:space="preserve"> </w:t>
      </w:r>
      <w:r>
        <w:t xml:space="preserve">License 2.0 unless a specific file states otherwise; third-party standards, publications, figures, and</w:t>
      </w:r>
      <w:r>
        <w:t xml:space="preserve"> </w:t>
      </w:r>
      <w:r>
        <w:t xml:space="preserve">trademarks remain the property of their respective rights holders.</w:t>
      </w:r>
    </w:p>
    <w:p>
      <w:pPr>
        <w:pStyle w:val="BodyText"/>
      </w:pPr>
      <w:r>
        <w:rPr>
          <w:b/>
          <w:bCs/>
        </w:rPr>
        <w:t xml:space="preserve">Author contributions.</w:t>
      </w:r>
      <w:r>
        <w:t xml:space="preserve"> </w:t>
      </w:r>
      <w:r>
        <w:t xml:space="preserve">Nicholas Sonnentag: conceptualization, methodology, software, data curation,</w:t>
      </w:r>
      <w:r>
        <w:t xml:space="preserve"> </w:t>
      </w:r>
      <w:r>
        <w:t xml:space="preserve">writing — original draft, review &amp; editing.</w:t>
      </w:r>
    </w:p>
    <w:p>
      <w:pPr>
        <w:pStyle w:val="BodyText"/>
      </w:pPr>
      <w:r>
        <w:rPr>
          <w:b/>
          <w:bCs/>
        </w:rPr>
        <w:t xml:space="preserve">Competing interest.</w:t>
      </w:r>
      <w:r>
        <w:t xml:space="preserve"> </w:t>
      </w:r>
      <w:r>
        <w:t xml:space="preserve">The author is the founder of Sunnyday Technologies, which develops Open3DCP and</w:t>
      </w:r>
      <w:r>
        <w:t xml:space="preserve"> </w:t>
      </w:r>
      <w:r>
        <w:t xml:space="preserve">related 3DCP tools. Open3DCP is released under an open-source license (Apache 2.0) with no commercial</w:t>
      </w:r>
      <w:r>
        <w:t xml:space="preserve"> </w:t>
      </w:r>
      <w:r>
        <w:t xml:space="preserve">restriction on use.</w:t>
      </w:r>
    </w:p>
    <w:p>
      <w:pPr>
        <w:pStyle w:val="BodyText"/>
      </w:pPr>
      <w:r>
        <w:rPr>
          <w:b/>
          <w:bCs/>
        </w:rPr>
        <w:t xml:space="preserve">Acknowledgments.</w:t>
      </w:r>
      <w:r>
        <w:t xml:space="preserve"> </w:t>
      </w:r>
      <w:r>
        <w:t xml:space="preserve">The author thanks the RILEM TC 304-ADC committee for foundational work on 3DCP</w:t>
      </w:r>
      <w:r>
        <w:t xml:space="preserve"> </w:t>
      </w:r>
      <w:r>
        <w:t xml:space="preserve">test standardization and interlaboratory data sharing; the National Institute of Standards and Technology</w:t>
      </w:r>
      <w:r>
        <w:t xml:space="preserve"> </w:t>
      </w:r>
      <w:r>
        <w:t xml:space="preserve">(NIST), the American Concrete Institute (ACI), Oak Ridge National Laboratory (ORNL) and its Manufacturing Demonstration Facility (MDF), and the</w:t>
      </w:r>
      <w:r>
        <w:t xml:space="preserve"> </w:t>
      </w:r>
      <w:r>
        <w:t xml:space="preserve">ISO/ASTM 52939 committee together with its associated ASTM contributors, for advancing the measurement</w:t>
      </w:r>
      <w:r>
        <w:t xml:space="preserve"> </w:t>
      </w:r>
      <w:r>
        <w:t xml:space="preserve">science, standards, and qualification frameworks on which additive construction depends; and the broader</w:t>
      </w:r>
      <w:r>
        <w:t xml:space="preserve"> </w:t>
      </w:r>
      <w:r>
        <w:t xml:space="preserve">3DCP research community whose published data motivated and informed the schema. Acknowledgment of these</w:t>
      </w:r>
      <w:r>
        <w:t xml:space="preserve"> </w:t>
      </w:r>
      <w:r>
        <w:t xml:space="preserve">organizations reflects the standards and measurement foundations the schema builds on and does not imply</w:t>
      </w:r>
      <w:r>
        <w:t xml:space="preserve"> </w:t>
      </w:r>
      <w:r>
        <w:t xml:space="preserve">their endorsement.</w:t>
      </w:r>
    </w:p>
    <w:bookmarkEnd w:id="41"/>
    <w:bookmarkStart w:id="90" w:name="references"/>
    <w:p>
      <w:pPr>
        <w:pStyle w:val="Heading2"/>
      </w:pPr>
      <w:r>
        <w:t xml:space="preserve">14. References</w:t>
      </w:r>
    </w:p>
    <w:p>
      <w:pPr>
        <w:pStyle w:val="Compact"/>
        <w:numPr>
          <w:ilvl w:val="0"/>
          <w:numId w:val="1010"/>
        </w:numPr>
      </w:pPr>
      <w:r>
        <w:t xml:space="preserve">F. Bos, R. Wolfs, Z. Ahmed, T. Salet (2016). Additive manufacturing of concrete in construction:</w:t>
      </w:r>
      <w:r>
        <w:t xml:space="preserve"> </w:t>
      </w:r>
      <w:r>
        <w:t xml:space="preserve">potentials and challenges of 3D concrete printing.</w:t>
      </w:r>
      <w:r>
        <w:t xml:space="preserve"> </w:t>
      </w:r>
      <w:r>
        <w:rPr>
          <w:i/>
          <w:iCs/>
        </w:rPr>
        <w:t xml:space="preserve">Virtual and Physical Prototyping</w:t>
      </w:r>
      <w:r>
        <w:t xml:space="preserve"> </w:t>
      </w:r>
      <w:r>
        <w:t xml:space="preserve">11(3) 209–225.</w:t>
      </w:r>
      <w:r>
        <w:t xml:space="preserve"> </w:t>
      </w:r>
      <w:hyperlink r:id="rId42">
        <w:r>
          <w:rPr>
            <w:rStyle w:val="Hyperlink"/>
          </w:rPr>
          <w:t xml:space="preserve">https://doi.org/10.1080/17452759.2016.1209867</w:t>
        </w:r>
      </w:hyperlink>
    </w:p>
    <w:p>
      <w:pPr>
        <w:pStyle w:val="Compact"/>
        <w:numPr>
          <w:ilvl w:val="0"/>
          <w:numId w:val="1010"/>
        </w:numPr>
      </w:pPr>
      <w:r>
        <w:t xml:space="preserve">G. De Schutter, K. Lesage, V. Mechtcherine, V. N. Nerella, G. Habert, I. Agustí-Juan (2018). Vision of</w:t>
      </w:r>
      <w:r>
        <w:t xml:space="preserve"> </w:t>
      </w:r>
      <w:r>
        <w:t xml:space="preserve">3D printing with concrete — technical, economic and environmental potentials.</w:t>
      </w:r>
      <w:r>
        <w:t xml:space="preserve"> </w:t>
      </w:r>
      <w:r>
        <w:rPr>
          <w:i/>
          <w:iCs/>
        </w:rPr>
        <w:t xml:space="preserve">Cement and Concrete</w:t>
      </w:r>
      <w:r>
        <w:rPr>
          <w:i/>
          <w:iCs/>
        </w:rPr>
        <w:t xml:space="preserve"> </w:t>
      </w:r>
      <w:r>
        <w:rPr>
          <w:i/>
          <w:iCs/>
        </w:rPr>
        <w:t xml:space="preserve">Research</w:t>
      </w:r>
      <w:r>
        <w:t xml:space="preserve"> </w:t>
      </w:r>
      <w:r>
        <w:t xml:space="preserve">112 25–36.</w:t>
      </w:r>
      <w:r>
        <w:t xml:space="preserve"> </w:t>
      </w:r>
      <w:hyperlink r:id="rId43">
        <w:r>
          <w:rPr>
            <w:rStyle w:val="Hyperlink"/>
          </w:rPr>
          <w:t xml:space="preserve">https://doi.org/10.1016/j.cemconres.2018.06.001</w:t>
        </w:r>
      </w:hyperlink>
    </w:p>
    <w:p>
      <w:pPr>
        <w:pStyle w:val="Compact"/>
        <w:numPr>
          <w:ilvl w:val="0"/>
          <w:numId w:val="1010"/>
        </w:numPr>
      </w:pPr>
      <w:r>
        <w:t xml:space="preserve">R. A. Buswell, W. R. Leal de Silva, S. Z. Jones, J. Dirrenberger (2018). 3D printing using concrete</w:t>
      </w:r>
      <w:r>
        <w:t xml:space="preserve"> </w:t>
      </w:r>
      <w:r>
        <w:t xml:space="preserve">extrusion: a roadmap for research.</w:t>
      </w:r>
      <w:r>
        <w:t xml:space="preserve"> </w:t>
      </w:r>
      <w:r>
        <w:rPr>
          <w:i/>
          <w:iCs/>
        </w:rPr>
        <w:t xml:space="preserve">Cement and Concrete Research</w:t>
      </w:r>
      <w:r>
        <w:t xml:space="preserve"> </w:t>
      </w:r>
      <w:r>
        <w:t xml:space="preserve">112 37–49.</w:t>
      </w:r>
      <w:r>
        <w:t xml:space="preserve"> </w:t>
      </w:r>
      <w:hyperlink r:id="rId44">
        <w:r>
          <w:rPr>
            <w:rStyle w:val="Hyperlink"/>
          </w:rPr>
          <w:t xml:space="preserve">https://doi.org/10.1016/j.cemconres.2018.05.006</w:t>
        </w:r>
      </w:hyperlink>
    </w:p>
    <w:p>
      <w:pPr>
        <w:pStyle w:val="Compact"/>
        <w:numPr>
          <w:ilvl w:val="0"/>
          <w:numId w:val="1010"/>
        </w:numPr>
      </w:pPr>
      <w:r>
        <w:t xml:space="preserve">I-C. Yeh (1998). Modeling of strength of high-performance concrete using artificial neural networks.</w:t>
      </w:r>
      <w:r>
        <w:t xml:space="preserve"> </w:t>
      </w:r>
      <w:r>
        <w:rPr>
          <w:i/>
          <w:iCs/>
        </w:rPr>
        <w:t xml:space="preserve">Cement and Concrete Research</w:t>
      </w:r>
      <w:r>
        <w:t xml:space="preserve"> </w:t>
      </w:r>
      <w:r>
        <w:t xml:space="preserve">28(12) 1797–1808.</w:t>
      </w:r>
      <w:r>
        <w:t xml:space="preserve"> </w:t>
      </w:r>
      <w:hyperlink r:id="rId45">
        <w:r>
          <w:rPr>
            <w:rStyle w:val="Hyperlink"/>
          </w:rPr>
          <w:t xml:space="preserve">https://doi.org/10.1016/S0008-8846(98)00165-3</w:t>
        </w:r>
      </w:hyperlink>
    </w:p>
    <w:p>
      <w:pPr>
        <w:pStyle w:val="Compact"/>
        <w:numPr>
          <w:ilvl w:val="0"/>
          <w:numId w:val="1010"/>
        </w:numPr>
      </w:pPr>
      <w:r>
        <w:t xml:space="preserve">R. J. M. Wolfs, F. P. Bos, T. A. M. Salet (2018). Early age mechanical behaviour of 3D printed</w:t>
      </w:r>
      <w:r>
        <w:t xml:space="preserve"> </w:t>
      </w:r>
      <w:r>
        <w:t xml:space="preserve">concrete: numerical modelling and experimental testing.</w:t>
      </w:r>
      <w:r>
        <w:t xml:space="preserve"> </w:t>
      </w:r>
      <w:r>
        <w:rPr>
          <w:i/>
          <w:iCs/>
        </w:rPr>
        <w:t xml:space="preserve">Cement and Concrete Research</w:t>
      </w:r>
      <w:r>
        <w:t xml:space="preserve"> </w:t>
      </w:r>
      <w:r>
        <w:t xml:space="preserve">106 103–116.</w:t>
      </w:r>
      <w:r>
        <w:t xml:space="preserve"> </w:t>
      </w:r>
      <w:hyperlink r:id="rId46">
        <w:r>
          <w:rPr>
            <w:rStyle w:val="Hyperlink"/>
          </w:rPr>
          <w:t xml:space="preserve">https://doi.org/10.1016/j.cemconres.2018.02.001</w:t>
        </w:r>
      </w:hyperlink>
    </w:p>
    <w:p>
      <w:pPr>
        <w:pStyle w:val="Compact"/>
        <w:numPr>
          <w:ilvl w:val="0"/>
          <w:numId w:val="1010"/>
        </w:numPr>
      </w:pPr>
      <w:r>
        <w:t xml:space="preserve">J. Kruger, A. du Plessis, G. van Zijl (2021). An investigation into the porosity of extrusion-based 3D</w:t>
      </w:r>
      <w:r>
        <w:t xml:space="preserve"> </w:t>
      </w:r>
      <w:r>
        <w:t xml:space="preserve">printed concrete.</w:t>
      </w:r>
      <w:r>
        <w:t xml:space="preserve"> </w:t>
      </w:r>
      <w:r>
        <w:rPr>
          <w:i/>
          <w:iCs/>
        </w:rPr>
        <w:t xml:space="preserve">Additive Manufacturing</w:t>
      </w:r>
      <w:r>
        <w:t xml:space="preserve"> </w:t>
      </w:r>
      <w:r>
        <w:t xml:space="preserve">37 101740.</w:t>
      </w:r>
      <w:r>
        <w:t xml:space="preserve"> </w:t>
      </w:r>
      <w:hyperlink r:id="rId47">
        <w:r>
          <w:rPr>
            <w:rStyle w:val="Hyperlink"/>
          </w:rPr>
          <w:t xml:space="preserve">https://doi.org/10.1016/j.addma.2020.101740</w:t>
        </w:r>
      </w:hyperlink>
    </w:p>
    <w:p>
      <w:pPr>
        <w:pStyle w:val="Compact"/>
        <w:numPr>
          <w:ilvl w:val="0"/>
          <w:numId w:val="1010"/>
        </w:numPr>
      </w:pPr>
      <w:r>
        <w:t xml:space="preserve">N. Roussel (2018). Rheological requirements for printable concretes.</w:t>
      </w:r>
      <w:r>
        <w:t xml:space="preserve"> </w:t>
      </w:r>
      <w:r>
        <w:rPr>
          <w:i/>
          <w:iCs/>
        </w:rPr>
        <w:t xml:space="preserve">Cement and Concrete Research</w:t>
      </w:r>
      <w:r>
        <w:t xml:space="preserve"> </w:t>
      </w:r>
      <w:r>
        <w:t xml:space="preserve">112 76–85.</w:t>
      </w:r>
      <w:r>
        <w:t xml:space="preserve"> </w:t>
      </w:r>
      <w:hyperlink r:id="rId48">
        <w:r>
          <w:rPr>
            <w:rStyle w:val="Hyperlink"/>
          </w:rPr>
          <w:t xml:space="preserve">https://doi.org/10.1016/j.cemconres.2018.04.005</w:t>
        </w:r>
      </w:hyperlink>
    </w:p>
    <w:p>
      <w:pPr>
        <w:pStyle w:val="Compact"/>
        <w:numPr>
          <w:ilvl w:val="0"/>
          <w:numId w:val="1010"/>
        </w:numPr>
      </w:pPr>
      <w:r>
        <w:t xml:space="preserve">J. G. Sanjayan, B. Nematollahi, M. Xia, T. Marchment (2018). Effect of surface moisture on inter-layer</w:t>
      </w:r>
      <w:r>
        <w:t xml:space="preserve"> </w:t>
      </w:r>
      <w:r>
        <w:t xml:space="preserve">strength of 3D printed concrete.</w:t>
      </w:r>
      <w:r>
        <w:t xml:space="preserve"> </w:t>
      </w:r>
      <w:r>
        <w:rPr>
          <w:i/>
          <w:iCs/>
        </w:rPr>
        <w:t xml:space="preserve">Construction and Building Materials</w:t>
      </w:r>
      <w:r>
        <w:t xml:space="preserve"> </w:t>
      </w:r>
      <w:r>
        <w:t xml:space="preserve">172 468–475.</w:t>
      </w:r>
      <w:r>
        <w:t xml:space="preserve"> </w:t>
      </w:r>
      <w:hyperlink r:id="rId49">
        <w:r>
          <w:rPr>
            <w:rStyle w:val="Hyperlink"/>
          </w:rPr>
          <w:t xml:space="preserve">https://doi.org/10.1016/j.conbuildmat.2018.03.232</w:t>
        </w:r>
      </w:hyperlink>
    </w:p>
    <w:p>
      <w:pPr>
        <w:pStyle w:val="Compact"/>
        <w:numPr>
          <w:ilvl w:val="0"/>
          <w:numId w:val="1010"/>
        </w:numPr>
      </w:pPr>
      <w:r>
        <w:t xml:space="preserve">G. M. Moelich, J. Kruger, R. Combrinck (2021). Modelling the interlayer bond strength of 3D printed</w:t>
      </w:r>
      <w:r>
        <w:t xml:space="preserve"> </w:t>
      </w:r>
      <w:r>
        <w:t xml:space="preserve">concrete with surface moisture.</w:t>
      </w:r>
      <w:r>
        <w:t xml:space="preserve"> </w:t>
      </w:r>
      <w:r>
        <w:rPr>
          <w:i/>
          <w:iCs/>
        </w:rPr>
        <w:t xml:space="preserve">Cement and Concrete Research</w:t>
      </w:r>
      <w:r>
        <w:t xml:space="preserve"> </w:t>
      </w:r>
      <w:r>
        <w:t xml:space="preserve">150 106559.</w:t>
      </w:r>
      <w:r>
        <w:t xml:space="preserve"> </w:t>
      </w:r>
      <w:hyperlink r:id="rId50">
        <w:r>
          <w:rPr>
            <w:rStyle w:val="Hyperlink"/>
          </w:rPr>
          <w:t xml:space="preserve">https://doi.org/10.1016/j.cemconres.2021.106559</w:t>
        </w:r>
      </w:hyperlink>
    </w:p>
    <w:p>
      <w:pPr>
        <w:pStyle w:val="Compact"/>
        <w:numPr>
          <w:ilvl w:val="0"/>
          <w:numId w:val="1010"/>
        </w:numPr>
      </w:pPr>
      <w:r>
        <w:t xml:space="preserve">ASTM International (2014).</w:t>
      </w:r>
      <w:r>
        <w:t xml:space="preserve"> </w:t>
      </w:r>
      <w:r>
        <w:rPr>
          <w:i/>
          <w:iCs/>
        </w:rPr>
        <w:t xml:space="preserve">ASTM F3049-14 — Standard Guide for Characterizing Properties of Metal</w:t>
      </w:r>
      <w:r>
        <w:rPr>
          <w:i/>
          <w:iCs/>
        </w:rPr>
        <w:t xml:space="preserve"> </w:t>
      </w:r>
      <w:r>
        <w:rPr>
          <w:i/>
          <w:iCs/>
        </w:rPr>
        <w:t xml:space="preserve">Powders Used for Additive Manufacturing Processes.</w:t>
      </w:r>
      <w:r>
        <w:t xml:space="preserve"> </w:t>
      </w:r>
      <w:r>
        <w:t xml:space="preserve">ASTM International, West Conshohocken, PA.</w:t>
      </w:r>
    </w:p>
    <w:p>
      <w:pPr>
        <w:pStyle w:val="Compact"/>
        <w:numPr>
          <w:ilvl w:val="0"/>
          <w:numId w:val="1010"/>
        </w:numPr>
      </w:pPr>
      <w:r>
        <w:t xml:space="preserve">RILEM TC 304-ADC (2025). Mechanical properties of 3D printed concrete: a RILEM TC 304-ADC</w:t>
      </w:r>
      <w:r>
        <w:t xml:space="preserve"> </w:t>
      </w:r>
      <w:r>
        <w:t xml:space="preserve">interlaboratory study — approach and main results.</w:t>
      </w:r>
      <w:r>
        <w:t xml:space="preserve"> </w:t>
      </w:r>
      <w:r>
        <w:rPr>
          <w:i/>
          <w:iCs/>
        </w:rPr>
        <w:t xml:space="preserve">Materials and Structures.</w:t>
      </w:r>
      <w:r>
        <w:t xml:space="preserve"> </w:t>
      </w:r>
      <w:hyperlink r:id="rId51">
        <w:r>
          <w:rPr>
            <w:rStyle w:val="Hyperlink"/>
          </w:rPr>
          <w:t xml:space="preserve">https://doi.org/10.1617/s11527-025-02686-x</w:t>
        </w:r>
      </w:hyperlink>
    </w:p>
    <w:p>
      <w:pPr>
        <w:pStyle w:val="Compact"/>
        <w:numPr>
          <w:ilvl w:val="0"/>
          <w:numId w:val="1010"/>
        </w:numPr>
      </w:pPr>
      <w:r>
        <w:t xml:space="preserve">RILEM TC 304-ADC (2025). Mechanical properties of 3D printed concrete: a RILEM TC 304-ADC</w:t>
      </w:r>
      <w:r>
        <w:t xml:space="preserve"> </w:t>
      </w:r>
      <w:r>
        <w:t xml:space="preserve">interlaboratory study — compressive strength and modulus of elasticity.</w:t>
      </w:r>
      <w:r>
        <w:t xml:space="preserve"> </w:t>
      </w:r>
      <w:r>
        <w:rPr>
          <w:i/>
          <w:iCs/>
        </w:rPr>
        <w:t xml:space="preserve">Materials and Structures.</w:t>
      </w:r>
      <w:r>
        <w:t xml:space="preserve"> </w:t>
      </w:r>
      <w:hyperlink r:id="rId52">
        <w:r>
          <w:rPr>
            <w:rStyle w:val="Hyperlink"/>
          </w:rPr>
          <w:t xml:space="preserve">https://doi.org/10.1617/s11527-025-02688-9</w:t>
        </w:r>
      </w:hyperlink>
    </w:p>
    <w:p>
      <w:pPr>
        <w:pStyle w:val="Compact"/>
        <w:numPr>
          <w:ilvl w:val="0"/>
          <w:numId w:val="1010"/>
        </w:numPr>
      </w:pPr>
      <w:r>
        <w:t xml:space="preserve">RILEM TC 304-ADC (2025). Mechanical properties of 3D printed concrete: a RILEM TC 304-ADC</w:t>
      </w:r>
      <w:r>
        <w:t xml:space="preserve"> </w:t>
      </w:r>
      <w:r>
        <w:t xml:space="preserve">interlaboratory study — flexural and tensile strength.</w:t>
      </w:r>
      <w:r>
        <w:t xml:space="preserve"> </w:t>
      </w:r>
      <w:r>
        <w:rPr>
          <w:i/>
          <w:iCs/>
        </w:rPr>
        <w:t xml:space="preserve">Materials and Structures.</w:t>
      </w:r>
      <w:r>
        <w:t xml:space="preserve"> </w:t>
      </w:r>
      <w:hyperlink r:id="rId53">
        <w:r>
          <w:rPr>
            <w:rStyle w:val="Hyperlink"/>
          </w:rPr>
          <w:t xml:space="preserve">https://doi.org/10.1617/s11527-025-02687-w</w:t>
        </w:r>
      </w:hyperlink>
    </w:p>
    <w:p>
      <w:pPr>
        <w:pStyle w:val="Compact"/>
        <w:numPr>
          <w:ilvl w:val="0"/>
          <w:numId w:val="1010"/>
        </w:numPr>
      </w:pPr>
      <w:r>
        <w:t xml:space="preserve">RILEM TC 304-ADC (2025). Design and implementation of a database system for querying, sharing, and</w:t>
      </w:r>
      <w:r>
        <w:t xml:space="preserve"> </w:t>
      </w:r>
      <w:r>
        <w:t xml:space="preserve">analyzing experimental data from interlaboratory studies on 3D printed concrete.</w:t>
      </w:r>
      <w:r>
        <w:t xml:space="preserve"> </w:t>
      </w:r>
      <w:r>
        <w:rPr>
          <w:i/>
          <w:iCs/>
        </w:rPr>
        <w:t xml:space="preserve">Materials and</w:t>
      </w:r>
      <w:r>
        <w:rPr>
          <w:i/>
          <w:iCs/>
        </w:rPr>
        <w:t xml:space="preserve"> </w:t>
      </w:r>
      <w:r>
        <w:rPr>
          <w:i/>
          <w:iCs/>
        </w:rPr>
        <w:t xml:space="preserve">Structures.</w:t>
      </w:r>
      <w:r>
        <w:t xml:space="preserve"> </w:t>
      </w:r>
      <w:hyperlink r:id="rId54">
        <w:r>
          <w:rPr>
            <w:rStyle w:val="Hyperlink"/>
          </w:rPr>
          <w:t xml:space="preserve">https://doi.org/10.1617/s11527-025-02650-9</w:t>
        </w:r>
      </w:hyperlink>
    </w:p>
    <w:p>
      <w:pPr>
        <w:pStyle w:val="Compact"/>
        <w:numPr>
          <w:ilvl w:val="0"/>
          <w:numId w:val="1010"/>
        </w:numPr>
      </w:pPr>
      <w:r>
        <w:t xml:space="preserve">G. B. Olson (1997). Computational design of hierarchically structured materials.</w:t>
      </w:r>
      <w:r>
        <w:t xml:space="preserve"> </w:t>
      </w:r>
      <w:r>
        <w:rPr>
          <w:i/>
          <w:iCs/>
        </w:rPr>
        <w:t xml:space="preserve">Science</w:t>
      </w:r>
      <w:r>
        <w:t xml:space="preserve"> </w:t>
      </w:r>
      <w:r>
        <w:t xml:space="preserve">277(5330)</w:t>
      </w:r>
      <w:r>
        <w:t xml:space="preserve"> </w:t>
      </w:r>
      <w:r>
        <w:t xml:space="preserve">1237–1242.</w:t>
      </w:r>
      <w:r>
        <w:t xml:space="preserve"> </w:t>
      </w:r>
      <w:hyperlink r:id="rId55">
        <w:r>
          <w:rPr>
            <w:rStyle w:val="Hyperlink"/>
          </w:rPr>
          <w:t xml:space="preserve">https://doi.org/10.1126/science.277.5330.1237</w:t>
        </w:r>
      </w:hyperlink>
    </w:p>
    <w:p>
      <w:pPr>
        <w:pStyle w:val="Compact"/>
        <w:numPr>
          <w:ilvl w:val="0"/>
          <w:numId w:val="1010"/>
        </w:numPr>
      </w:pPr>
      <w:r>
        <w:t xml:space="preserve">G. B. Olson (2000). Designing a new material world.</w:t>
      </w:r>
      <w:r>
        <w:t xml:space="preserve"> </w:t>
      </w:r>
      <w:r>
        <w:rPr>
          <w:i/>
          <w:iCs/>
        </w:rPr>
        <w:t xml:space="preserve">Science</w:t>
      </w:r>
      <w:r>
        <w:t xml:space="preserve"> </w:t>
      </w:r>
      <w:r>
        <w:t xml:space="preserve">288(5468) 993–998.</w:t>
      </w:r>
      <w:r>
        <w:t xml:space="preserve"> </w:t>
      </w:r>
      <w:hyperlink r:id="rId56">
        <w:r>
          <w:rPr>
            <w:rStyle w:val="Hyperlink"/>
          </w:rPr>
          <w:t xml:space="preserve">https://doi.org/10.1126/science.288.5468.993</w:t>
        </w:r>
      </w:hyperlink>
    </w:p>
    <w:p>
      <w:pPr>
        <w:pStyle w:val="Compact"/>
        <w:numPr>
          <w:ilvl w:val="0"/>
          <w:numId w:val="1010"/>
        </w:numPr>
      </w:pPr>
      <w:r>
        <w:t xml:space="preserve">National Science and Technology Council (2011).</w:t>
      </w:r>
      <w:r>
        <w:t xml:space="preserve"> </w:t>
      </w:r>
      <w:r>
        <w:rPr>
          <w:i/>
          <w:iCs/>
        </w:rPr>
        <w:t xml:space="preserve">Materials Genome Initiative for Global</w:t>
      </w:r>
      <w:r>
        <w:rPr>
          <w:i/>
          <w:iCs/>
        </w:rPr>
        <w:t xml:space="preserve"> </w:t>
      </w:r>
      <w:r>
        <w:rPr>
          <w:i/>
          <w:iCs/>
        </w:rPr>
        <w:t xml:space="preserve">Competitiveness.</w:t>
      </w:r>
      <w:r>
        <w:t xml:space="preserve"> </w:t>
      </w:r>
      <w:r>
        <w:t xml:space="preserve">Executive Office of the President, Washington, DC.</w:t>
      </w:r>
    </w:p>
    <w:p>
      <w:pPr>
        <w:pStyle w:val="Compact"/>
        <w:numPr>
          <w:ilvl w:val="0"/>
          <w:numId w:val="1010"/>
        </w:numPr>
      </w:pPr>
      <w:r>
        <w:t xml:space="preserve">M. D. Wilkinson, M. Dumontier, I. J. Aalbersberg, G. Appleton, et al. (2016). The FAIR Guiding</w:t>
      </w:r>
      <w:r>
        <w:t xml:space="preserve"> </w:t>
      </w:r>
      <w:r>
        <w:t xml:space="preserve">Principles for scientific data management and stewardship.</w:t>
      </w:r>
      <w:r>
        <w:t xml:space="preserve"> </w:t>
      </w:r>
      <w:r>
        <w:rPr>
          <w:i/>
          <w:iCs/>
        </w:rPr>
        <w:t xml:space="preserve">Scientific Data</w:t>
      </w:r>
      <w:r>
        <w:t xml:space="preserve"> </w:t>
      </w:r>
      <w:r>
        <w:t xml:space="preserve">3 160018.</w:t>
      </w:r>
      <w:r>
        <w:t xml:space="preserve"> </w:t>
      </w:r>
      <w:hyperlink r:id="rId57">
        <w:r>
          <w:rPr>
            <w:rStyle w:val="Hyperlink"/>
          </w:rPr>
          <w:t xml:space="preserve">https://doi.org/10.1038/sdata.2016.18</w:t>
        </w:r>
      </w:hyperlink>
    </w:p>
    <w:p>
      <w:pPr>
        <w:pStyle w:val="Compact"/>
        <w:numPr>
          <w:ilvl w:val="0"/>
          <w:numId w:val="1010"/>
        </w:numPr>
      </w:pPr>
      <w:r>
        <w:t xml:space="preserve">J. Pegna (1997). Exploratory investigation of solid freeform construction.</w:t>
      </w:r>
      <w:r>
        <w:t xml:space="preserve"> </w:t>
      </w:r>
      <w:r>
        <w:rPr>
          <w:i/>
          <w:iCs/>
        </w:rPr>
        <w:t xml:space="preserve">Automation in</w:t>
      </w:r>
      <w:r>
        <w:rPr>
          <w:i/>
          <w:iCs/>
        </w:rPr>
        <w:t xml:space="preserve"> </w:t>
      </w:r>
      <w:r>
        <w:rPr>
          <w:i/>
          <w:iCs/>
        </w:rPr>
        <w:t xml:space="preserve">Construction</w:t>
      </w:r>
      <w:r>
        <w:t xml:space="preserve"> </w:t>
      </w:r>
      <w:r>
        <w:t xml:space="preserve">5(5) 427–437.</w:t>
      </w:r>
      <w:r>
        <w:t xml:space="preserve"> </w:t>
      </w:r>
      <w:hyperlink r:id="rId58">
        <w:r>
          <w:rPr>
            <w:rStyle w:val="Hyperlink"/>
          </w:rPr>
          <w:t xml:space="preserve">https://doi.org/10.1016/S0926-5805(96)00166-5</w:t>
        </w:r>
      </w:hyperlink>
    </w:p>
    <w:p>
      <w:pPr>
        <w:pStyle w:val="Compact"/>
        <w:numPr>
          <w:ilvl w:val="0"/>
          <w:numId w:val="1010"/>
        </w:numPr>
      </w:pPr>
      <w:r>
        <w:t xml:space="preserve">B. Khoshnevis (2004). Automated construction by contour crafting — related robotics and information</w:t>
      </w:r>
      <w:r>
        <w:t xml:space="preserve"> </w:t>
      </w:r>
      <w:r>
        <w:t xml:space="preserve">technologies.</w:t>
      </w:r>
      <w:r>
        <w:t xml:space="preserve"> </w:t>
      </w:r>
      <w:r>
        <w:rPr>
          <w:i/>
          <w:iCs/>
        </w:rPr>
        <w:t xml:space="preserve">Automation in Construction</w:t>
      </w:r>
      <w:r>
        <w:t xml:space="preserve"> </w:t>
      </w:r>
      <w:r>
        <w:t xml:space="preserve">13(1) 5–19.</w:t>
      </w:r>
      <w:r>
        <w:t xml:space="preserve"> </w:t>
      </w:r>
      <w:hyperlink r:id="rId59">
        <w:r>
          <w:rPr>
            <w:rStyle w:val="Hyperlink"/>
          </w:rPr>
          <w:t xml:space="preserve">https://doi.org/10.1016/j.autcon.2003.08.012</w:t>
        </w:r>
      </w:hyperlink>
    </w:p>
    <w:p>
      <w:pPr>
        <w:pStyle w:val="Compact"/>
        <w:numPr>
          <w:ilvl w:val="0"/>
          <w:numId w:val="1010"/>
        </w:numPr>
      </w:pPr>
      <w:r>
        <w:t xml:space="preserve">G. Cesaretti, E. Dini, X. De Kestelier, V. Colla, L. Pambaguian (2014). Building components for an</w:t>
      </w:r>
      <w:r>
        <w:t xml:space="preserve"> </w:t>
      </w:r>
      <w:r>
        <w:t xml:space="preserve">outpost on the lunar soil by means of a novel 3D printing technology.</w:t>
      </w:r>
      <w:r>
        <w:t xml:space="preserve"> </w:t>
      </w:r>
      <w:r>
        <w:rPr>
          <w:i/>
          <w:iCs/>
        </w:rPr>
        <w:t xml:space="preserve">Acta Astronautica</w:t>
      </w:r>
      <w:r>
        <w:t xml:space="preserve"> </w:t>
      </w:r>
      <w:r>
        <w:t xml:space="preserve">93 430–450.</w:t>
      </w:r>
      <w:r>
        <w:t xml:space="preserve"> </w:t>
      </w:r>
      <w:hyperlink r:id="rId60">
        <w:r>
          <w:rPr>
            <w:rStyle w:val="Hyperlink"/>
          </w:rPr>
          <w:t xml:space="preserve">https://doi.org/10.1016/j.actaastro.2013.07.034</w:t>
        </w:r>
      </w:hyperlink>
    </w:p>
    <w:p>
      <w:pPr>
        <w:pStyle w:val="Compact"/>
        <w:numPr>
          <w:ilvl w:val="0"/>
          <w:numId w:val="1010"/>
        </w:numPr>
      </w:pPr>
      <w:r>
        <w:t xml:space="preserve">T. T. Le, S. A. Austin, S. Lim, R. A. Buswell, A. G. F. Gibb, T. Thorpe (2012). Mix design and fresh</w:t>
      </w:r>
      <w:r>
        <w:t xml:space="preserve"> </w:t>
      </w:r>
      <w:r>
        <w:t xml:space="preserve">properties for high-performance printing concrete.</w:t>
      </w:r>
      <w:r>
        <w:t xml:space="preserve"> </w:t>
      </w:r>
      <w:r>
        <w:rPr>
          <w:i/>
          <w:iCs/>
        </w:rPr>
        <w:t xml:space="preserve">Materials and Structures</w:t>
      </w:r>
      <w:r>
        <w:t xml:space="preserve"> </w:t>
      </w:r>
      <w:r>
        <w:t xml:space="preserve">45(8) 1221–1232.</w:t>
      </w:r>
      <w:r>
        <w:t xml:space="preserve"> </w:t>
      </w:r>
      <w:hyperlink r:id="rId61">
        <w:r>
          <w:rPr>
            <w:rStyle w:val="Hyperlink"/>
          </w:rPr>
          <w:t xml:space="preserve">https://doi.org/10.1617/s11527-012-9828-z</w:t>
        </w:r>
      </w:hyperlink>
    </w:p>
    <w:p>
      <w:pPr>
        <w:pStyle w:val="Compact"/>
        <w:numPr>
          <w:ilvl w:val="0"/>
          <w:numId w:val="1010"/>
        </w:numPr>
      </w:pPr>
      <w:r>
        <w:t xml:space="preserve">S. Lim, R. A. Buswell, T. T. Le, S. A. Austin, A. G. F. Gibb, T. Thorpe (2012). Developments in</w:t>
      </w:r>
      <w:r>
        <w:t xml:space="preserve"> </w:t>
      </w:r>
      <w:r>
        <w:t xml:space="preserve">construction-scale additive manufacturing processes.</w:t>
      </w:r>
      <w:r>
        <w:t xml:space="preserve"> </w:t>
      </w:r>
      <w:r>
        <w:rPr>
          <w:i/>
          <w:iCs/>
        </w:rPr>
        <w:t xml:space="preserve">Automation in Construction</w:t>
      </w:r>
      <w:r>
        <w:t xml:space="preserve"> </w:t>
      </w:r>
      <w:r>
        <w:t xml:space="preserve">21 262–268.</w:t>
      </w:r>
      <w:r>
        <w:t xml:space="preserve"> </w:t>
      </w:r>
      <w:hyperlink r:id="rId62">
        <w:r>
          <w:rPr>
            <w:rStyle w:val="Hyperlink"/>
          </w:rPr>
          <w:t xml:space="preserve">https://doi.org/10.1016/j.autcon.2011.06.010</w:t>
        </w:r>
      </w:hyperlink>
    </w:p>
    <w:p>
      <w:pPr>
        <w:pStyle w:val="Compact"/>
        <w:numPr>
          <w:ilvl w:val="0"/>
          <w:numId w:val="1010"/>
        </w:numPr>
      </w:pPr>
      <w:r>
        <w:t xml:space="preserve">T. A. M. Salet, Z. Y. Ahmed, F. P. Bos, H. L. M. Laagland (2018). Design of a 3D printed concrete</w:t>
      </w:r>
      <w:r>
        <w:t xml:space="preserve"> </w:t>
      </w:r>
      <w:r>
        <w:t xml:space="preserve">bridge by testing.</w:t>
      </w:r>
      <w:r>
        <w:t xml:space="preserve"> </w:t>
      </w:r>
      <w:r>
        <w:rPr>
          <w:i/>
          <w:iCs/>
        </w:rPr>
        <w:t xml:space="preserve">Virtual and Physical Prototyping</w:t>
      </w:r>
      <w:r>
        <w:t xml:space="preserve"> </w:t>
      </w:r>
      <w:r>
        <w:t xml:space="preserve">13(3) 222–236.</w:t>
      </w:r>
      <w:r>
        <w:t xml:space="preserve"> </w:t>
      </w:r>
      <w:hyperlink r:id="rId63">
        <w:r>
          <w:rPr>
            <w:rStyle w:val="Hyperlink"/>
          </w:rPr>
          <w:t xml:space="preserve">https://doi.org/10.1080/17452759.2018.1476064</w:t>
        </w:r>
      </w:hyperlink>
    </w:p>
    <w:p>
      <w:pPr>
        <w:pStyle w:val="Compact"/>
        <w:numPr>
          <w:ilvl w:val="0"/>
          <w:numId w:val="1010"/>
        </w:numPr>
      </w:pPr>
      <w:r>
        <w:t xml:space="preserve">A. S. J. Suiker (2018). Mechanical performance of wall structures in 3D printing processes: theory,</w:t>
      </w:r>
      <w:r>
        <w:t xml:space="preserve"> </w:t>
      </w:r>
      <w:r>
        <w:t xml:space="preserve">design tools and experiments.</w:t>
      </w:r>
      <w:r>
        <w:t xml:space="preserve"> </w:t>
      </w:r>
      <w:r>
        <w:rPr>
          <w:i/>
          <w:iCs/>
        </w:rPr>
        <w:t xml:space="preserve">International Journal of Mechanical Sciences</w:t>
      </w:r>
      <w:r>
        <w:t xml:space="preserve"> </w:t>
      </w:r>
      <w:r>
        <w:t xml:space="preserve">137 145–170.</w:t>
      </w:r>
      <w:r>
        <w:t xml:space="preserve"> </w:t>
      </w:r>
      <w:hyperlink r:id="rId64">
        <w:r>
          <w:rPr>
            <w:rStyle w:val="Hyperlink"/>
          </w:rPr>
          <w:t xml:space="preserve">https://doi.org/10.1016/j.ijmecsci.2018.01.010</w:t>
        </w:r>
      </w:hyperlink>
    </w:p>
    <w:p>
      <w:pPr>
        <w:pStyle w:val="Compact"/>
        <w:numPr>
          <w:ilvl w:val="0"/>
          <w:numId w:val="1010"/>
        </w:numPr>
      </w:pPr>
      <w:r>
        <w:t xml:space="preserve">A. Perrot, D. Rangeard, A. Pierre (2016). Structural built-up of cement-based materials used for</w:t>
      </w:r>
      <w:r>
        <w:t xml:space="preserve"> </w:t>
      </w:r>
      <w:r>
        <w:t xml:space="preserve">3D-printing extrusion techniques.</w:t>
      </w:r>
      <w:r>
        <w:t xml:space="preserve"> </w:t>
      </w:r>
      <w:r>
        <w:rPr>
          <w:i/>
          <w:iCs/>
        </w:rPr>
        <w:t xml:space="preserve">Materials and Structures</w:t>
      </w:r>
      <w:r>
        <w:t xml:space="preserve"> </w:t>
      </w:r>
      <w:r>
        <w:t xml:space="preserve">49(4) 1213–1220.</w:t>
      </w:r>
      <w:r>
        <w:t xml:space="preserve"> </w:t>
      </w:r>
      <w:hyperlink r:id="rId65">
        <w:r>
          <w:rPr>
            <w:rStyle w:val="Hyperlink"/>
          </w:rPr>
          <w:t xml:space="preserve">https://doi.org/10.1617/s11527-015-0571-0</w:t>
        </w:r>
      </w:hyperlink>
    </w:p>
    <w:p>
      <w:pPr>
        <w:pStyle w:val="Compact"/>
        <w:numPr>
          <w:ilvl w:val="0"/>
          <w:numId w:val="1010"/>
        </w:numPr>
      </w:pPr>
      <w:r>
        <w:t xml:space="preserve">B. Panda, C. Unluer, M. J. Tan (2018). Investigation of the rheology and strength of geopolymer</w:t>
      </w:r>
      <w:r>
        <w:t xml:space="preserve"> </w:t>
      </w:r>
      <w:r>
        <w:t xml:space="preserve">mixtures for extrusion-based 3D printing.</w:t>
      </w:r>
      <w:r>
        <w:t xml:space="preserve"> </w:t>
      </w:r>
      <w:r>
        <w:rPr>
          <w:i/>
          <w:iCs/>
        </w:rPr>
        <w:t xml:space="preserve">Cement and Concrete Composites</w:t>
      </w:r>
      <w:r>
        <w:t xml:space="preserve"> </w:t>
      </w:r>
      <w:r>
        <w:t xml:space="preserve">94 307–314.</w:t>
      </w:r>
      <w:r>
        <w:t xml:space="preserve"> </w:t>
      </w:r>
      <w:hyperlink r:id="rId66">
        <w:r>
          <w:rPr>
            <w:rStyle w:val="Hyperlink"/>
          </w:rPr>
          <w:t xml:space="preserve">https://doi.org/10.1016/j.cemconcomp.2018.10.002</w:t>
        </w:r>
      </w:hyperlink>
    </w:p>
    <w:p>
      <w:pPr>
        <w:pStyle w:val="Compact"/>
        <w:numPr>
          <w:ilvl w:val="0"/>
          <w:numId w:val="1010"/>
        </w:numPr>
      </w:pPr>
      <w:r>
        <w:t xml:space="preserve">B. Panda, C. Unluer, M. J. Tan (2019). Extrusion and rheology characterization of geopolymer</w:t>
      </w:r>
      <w:r>
        <w:t xml:space="preserve"> </w:t>
      </w:r>
      <w:r>
        <w:t xml:space="preserve">nanocomposites used in 3D printing.</w:t>
      </w:r>
      <w:r>
        <w:t xml:space="preserve"> </w:t>
      </w:r>
      <w:r>
        <w:rPr>
          <w:i/>
          <w:iCs/>
        </w:rPr>
        <w:t xml:space="preserve">Composites Part B: Engineering</w:t>
      </w:r>
      <w:r>
        <w:t xml:space="preserve"> </w:t>
      </w:r>
      <w:r>
        <w:t xml:space="preserve">176 107290.</w:t>
      </w:r>
      <w:r>
        <w:t xml:space="preserve"> </w:t>
      </w:r>
      <w:hyperlink r:id="rId67">
        <w:r>
          <w:rPr>
            <w:rStyle w:val="Hyperlink"/>
          </w:rPr>
          <w:t xml:space="preserve">https://doi.org/10.1016/j.compositesb.2019.107290</w:t>
        </w:r>
      </w:hyperlink>
    </w:p>
    <w:p>
      <w:pPr>
        <w:pStyle w:val="Compact"/>
        <w:numPr>
          <w:ilvl w:val="0"/>
          <w:numId w:val="1010"/>
        </w:numPr>
      </w:pPr>
      <w:r>
        <w:t xml:space="preserve">Y. W. D. Tay, Y. Qian, M. J. Tan (2019). Printability region for 3D concrete printing using slump and</w:t>
      </w:r>
      <w:r>
        <w:t xml:space="preserve"> </w:t>
      </w:r>
      <w:r>
        <w:t xml:space="preserve">slump flow test.</w:t>
      </w:r>
      <w:r>
        <w:t xml:space="preserve"> </w:t>
      </w:r>
      <w:r>
        <w:rPr>
          <w:i/>
          <w:iCs/>
        </w:rPr>
        <w:t xml:space="preserve">Composites Part B: Engineering</w:t>
      </w:r>
      <w:r>
        <w:t xml:space="preserve"> </w:t>
      </w:r>
      <w:r>
        <w:t xml:space="preserve">174 106968.</w:t>
      </w:r>
      <w:r>
        <w:t xml:space="preserve"> </w:t>
      </w:r>
      <w:hyperlink r:id="rId68">
        <w:r>
          <w:rPr>
            <w:rStyle w:val="Hyperlink"/>
          </w:rPr>
          <w:t xml:space="preserve">https://doi.org/10.1016/j.compositesb.2019.106968</w:t>
        </w:r>
      </w:hyperlink>
    </w:p>
    <w:p>
      <w:pPr>
        <w:pStyle w:val="Compact"/>
        <w:numPr>
          <w:ilvl w:val="0"/>
          <w:numId w:val="1010"/>
        </w:numPr>
      </w:pPr>
      <w:r>
        <w:t xml:space="preserve">S. C. Paul, Y. W. D. Tay, B. Panda, M. J. Tan (2018). Fresh and hardened properties of 3D printable</w:t>
      </w:r>
      <w:r>
        <w:t xml:space="preserve"> </w:t>
      </w:r>
      <w:r>
        <w:t xml:space="preserve">cementitious materials for building and construction.</w:t>
      </w:r>
      <w:r>
        <w:t xml:space="preserve"> </w:t>
      </w:r>
      <w:r>
        <w:rPr>
          <w:i/>
          <w:iCs/>
        </w:rPr>
        <w:t xml:space="preserve">Archives of Civil and Mechanical Engineering</w:t>
      </w:r>
      <w:r>
        <w:t xml:space="preserve"> </w:t>
      </w:r>
      <w:r>
        <w:t xml:space="preserve">18(1) 311–319.</w:t>
      </w:r>
      <w:r>
        <w:t xml:space="preserve"> </w:t>
      </w:r>
      <w:hyperlink r:id="rId69">
        <w:r>
          <w:rPr>
            <w:rStyle w:val="Hyperlink"/>
          </w:rPr>
          <w:t xml:space="preserve">https://doi.org/10.1016/j.acme.2017.02.008</w:t>
        </w:r>
      </w:hyperlink>
    </w:p>
    <w:p>
      <w:pPr>
        <w:pStyle w:val="Compact"/>
        <w:numPr>
          <w:ilvl w:val="0"/>
          <w:numId w:val="1010"/>
        </w:numPr>
      </w:pPr>
      <w:r>
        <w:t xml:space="preserve">J. Van Der Putten, G. De Schutter, K. Van Tittelboom (2019). Surface modification as a technique to</w:t>
      </w:r>
      <w:r>
        <w:t xml:space="preserve"> </w:t>
      </w:r>
      <w:r>
        <w:t xml:space="preserve">improve inter-layer bonding strength in 3D printed cementitious materials.</w:t>
      </w:r>
      <w:r>
        <w:t xml:space="preserve"> </w:t>
      </w:r>
      <w:r>
        <w:rPr>
          <w:i/>
          <w:iCs/>
        </w:rPr>
        <w:t xml:space="preserve">RILEM Technical Letters</w:t>
      </w:r>
      <w:r>
        <w:t xml:space="preserve"> </w:t>
      </w:r>
      <w:r>
        <w:t xml:space="preserve">4</w:t>
      </w:r>
      <w:r>
        <w:t xml:space="preserve"> </w:t>
      </w:r>
      <w:r>
        <w:t xml:space="preserve">33–38.</w:t>
      </w:r>
      <w:r>
        <w:t xml:space="preserve"> </w:t>
      </w:r>
      <w:hyperlink r:id="rId70">
        <w:r>
          <w:rPr>
            <w:rStyle w:val="Hyperlink"/>
          </w:rPr>
          <w:t xml:space="preserve">https://doi.org/10.21809/rilemtechlett.2019.84</w:t>
        </w:r>
      </w:hyperlink>
    </w:p>
    <w:p>
      <w:pPr>
        <w:pStyle w:val="Compact"/>
        <w:numPr>
          <w:ilvl w:val="0"/>
          <w:numId w:val="1010"/>
        </w:numPr>
      </w:pPr>
      <w:r>
        <w:t xml:space="preserve">T. Marchment, J. Sanjayan (2020). Mesh reinforcing method for 3D concrete printing.</w:t>
      </w:r>
      <w:r>
        <w:t xml:space="preserve"> </w:t>
      </w:r>
      <w:r>
        <w:rPr>
          <w:i/>
          <w:iCs/>
        </w:rPr>
        <w:t xml:space="preserve">Automation in</w:t>
      </w:r>
      <w:r>
        <w:rPr>
          <w:i/>
          <w:iCs/>
        </w:rPr>
        <w:t xml:space="preserve"> </w:t>
      </w:r>
      <w:r>
        <w:rPr>
          <w:i/>
          <w:iCs/>
        </w:rPr>
        <w:t xml:space="preserve">Construction</w:t>
      </w:r>
      <w:r>
        <w:t xml:space="preserve"> </w:t>
      </w:r>
      <w:r>
        <w:t xml:space="preserve">109 102992.</w:t>
      </w:r>
      <w:r>
        <w:t xml:space="preserve"> </w:t>
      </w:r>
      <w:hyperlink r:id="rId71">
        <w:r>
          <w:rPr>
            <w:rStyle w:val="Hyperlink"/>
          </w:rPr>
          <w:t xml:space="preserve">https://doi.org/10.1016/j.autcon.2019.102992</w:t>
        </w:r>
      </w:hyperlink>
    </w:p>
    <w:p>
      <w:pPr>
        <w:pStyle w:val="Compact"/>
        <w:numPr>
          <w:ilvl w:val="0"/>
          <w:numId w:val="1010"/>
        </w:numPr>
      </w:pPr>
      <w:r>
        <w:t xml:space="preserve">D. Asprone, C. Menna, F. P. Bos, T. A. M. Salet, J. Mata-Falcón, W. Kaufmann (2018). Rethinking</w:t>
      </w:r>
      <w:r>
        <w:t xml:space="preserve"> </w:t>
      </w:r>
      <w:r>
        <w:t xml:space="preserve">reinforcement for digital fabrication with concrete.</w:t>
      </w:r>
      <w:r>
        <w:t xml:space="preserve"> </w:t>
      </w:r>
      <w:r>
        <w:rPr>
          <w:i/>
          <w:iCs/>
        </w:rPr>
        <w:t xml:space="preserve">Cement and Concrete Research</w:t>
      </w:r>
      <w:r>
        <w:t xml:space="preserve"> </w:t>
      </w:r>
      <w:r>
        <w:t xml:space="preserve">112 111–121.</w:t>
      </w:r>
      <w:r>
        <w:t xml:space="preserve"> </w:t>
      </w:r>
      <w:hyperlink r:id="rId72">
        <w:r>
          <w:rPr>
            <w:rStyle w:val="Hyperlink"/>
          </w:rPr>
          <w:t xml:space="preserve">https://doi.org/10.1016/j.cemconres.2018.05.020</w:t>
        </w:r>
      </w:hyperlink>
    </w:p>
    <w:p>
      <w:pPr>
        <w:pStyle w:val="Compact"/>
        <w:numPr>
          <w:ilvl w:val="0"/>
          <w:numId w:val="1010"/>
        </w:numPr>
      </w:pPr>
      <w:r>
        <w:t xml:space="preserve">L. Gebhard, J. Mata-Falcón, A. Anton, B. Dillenburger, W. Kaufmann (2021). Structural behaviour of 3D</w:t>
      </w:r>
      <w:r>
        <w:t xml:space="preserve"> </w:t>
      </w:r>
      <w:r>
        <w:t xml:space="preserve">printed concrete beams with various reinforcement strategies.</w:t>
      </w:r>
      <w:r>
        <w:t xml:space="preserve"> </w:t>
      </w:r>
      <w:r>
        <w:rPr>
          <w:i/>
          <w:iCs/>
        </w:rPr>
        <w:t xml:space="preserve">Engineering Structures</w:t>
      </w:r>
      <w:r>
        <w:t xml:space="preserve"> </w:t>
      </w:r>
      <w:r>
        <w:t xml:space="preserve">240 112380.</w:t>
      </w:r>
      <w:r>
        <w:t xml:space="preserve"> </w:t>
      </w:r>
      <w:hyperlink r:id="rId73">
        <w:r>
          <w:rPr>
            <w:rStyle w:val="Hyperlink"/>
          </w:rPr>
          <w:t xml:space="preserve">https://doi.org/10.1016/j.engstruct.2021.112380</w:t>
        </w:r>
      </w:hyperlink>
    </w:p>
    <w:p>
      <w:pPr>
        <w:pStyle w:val="Compact"/>
        <w:numPr>
          <w:ilvl w:val="0"/>
          <w:numId w:val="1010"/>
        </w:numPr>
      </w:pPr>
      <w:r>
        <w:t xml:space="preserve">V. Mechtcherine, F. P. Bos, A. Perrot, W. R. Leal da Silva, V. N. Nerella, S. Fataei, R. J. M. Wolfs,</w:t>
      </w:r>
      <w:r>
        <w:t xml:space="preserve"> </w:t>
      </w:r>
      <w:r>
        <w:t xml:space="preserve">M. Sonebi, N. Roussel (2020). Extrusion-based additive manufacturing with cement-based materials —</w:t>
      </w:r>
      <w:r>
        <w:t xml:space="preserve"> </w:t>
      </w:r>
      <w:r>
        <w:t xml:space="preserve">production steps, processes, and their underlying physics: a review.</w:t>
      </w:r>
      <w:r>
        <w:t xml:space="preserve"> </w:t>
      </w:r>
      <w:r>
        <w:rPr>
          <w:i/>
          <w:iCs/>
        </w:rPr>
        <w:t xml:space="preserve">Cement and Concrete Research</w:t>
      </w:r>
      <w:r>
        <w:t xml:space="preserve"> </w:t>
      </w:r>
      <w:r>
        <w:t xml:space="preserve">132 106037.</w:t>
      </w:r>
      <w:r>
        <w:t xml:space="preserve"> </w:t>
      </w:r>
      <w:hyperlink r:id="rId74">
        <w:r>
          <w:rPr>
            <w:rStyle w:val="Hyperlink"/>
          </w:rPr>
          <w:t xml:space="preserve">https://doi.org/10.1016/j.cemconres.2020.106037</w:t>
        </w:r>
      </w:hyperlink>
    </w:p>
    <w:p>
      <w:pPr>
        <w:pStyle w:val="Compact"/>
        <w:numPr>
          <w:ilvl w:val="0"/>
          <w:numId w:val="1010"/>
        </w:numPr>
      </w:pPr>
      <w:r>
        <w:t xml:space="preserve">V. N. Nerella, M. A. B. Beigh, S. Fataei, V. Mechtcherine (2019). Strain-based approach for measuring</w:t>
      </w:r>
      <w:r>
        <w:t xml:space="preserve"> </w:t>
      </w:r>
      <w:r>
        <w:t xml:space="preserve">structural build-up of cement pastes in the context of digital construction.</w:t>
      </w:r>
      <w:r>
        <w:t xml:space="preserve"> </w:t>
      </w:r>
      <w:r>
        <w:rPr>
          <w:i/>
          <w:iCs/>
        </w:rPr>
        <w:t xml:space="preserve">Cement and Concrete</w:t>
      </w:r>
      <w:r>
        <w:rPr>
          <w:i/>
          <w:iCs/>
        </w:rPr>
        <w:t xml:space="preserve"> </w:t>
      </w:r>
      <w:r>
        <w:rPr>
          <w:i/>
          <w:iCs/>
        </w:rPr>
        <w:t xml:space="preserve">Research</w:t>
      </w:r>
      <w:r>
        <w:t xml:space="preserve"> </w:t>
      </w:r>
      <w:r>
        <w:t xml:space="preserve">115 530–544.</w:t>
      </w:r>
      <w:r>
        <w:t xml:space="preserve"> </w:t>
      </w:r>
      <w:hyperlink r:id="rId75">
        <w:r>
          <w:rPr>
            <w:rStyle w:val="Hyperlink"/>
          </w:rPr>
          <w:t xml:space="preserve">https://doi.org/10.1016/j.cemconres.2018.08.003</w:t>
        </w:r>
      </w:hyperlink>
    </w:p>
    <w:p>
      <w:pPr>
        <w:pStyle w:val="Compact"/>
        <w:numPr>
          <w:ilvl w:val="0"/>
          <w:numId w:val="1010"/>
        </w:numPr>
      </w:pPr>
      <w:r>
        <w:t xml:space="preserve">C. Gosselin, R. Duballet, P. Roux, N. Gaudillière, J. Dirrenberger, P. Morel (2016). Large-scale 3D</w:t>
      </w:r>
      <w:r>
        <w:t xml:space="preserve"> </w:t>
      </w:r>
      <w:r>
        <w:t xml:space="preserve">printing of ultra-high performance concrete — a new processing route for architects and builders.</w:t>
      </w:r>
      <w:r>
        <w:t xml:space="preserve"> </w:t>
      </w:r>
      <w:r>
        <w:rPr>
          <w:i/>
          <w:iCs/>
        </w:rPr>
        <w:t xml:space="preserve">Materials &amp; Design</w:t>
      </w:r>
      <w:r>
        <w:t xml:space="preserve"> </w:t>
      </w:r>
      <w:r>
        <w:t xml:space="preserve">100 102–109.</w:t>
      </w:r>
      <w:r>
        <w:t xml:space="preserve"> </w:t>
      </w:r>
      <w:hyperlink r:id="rId76">
        <w:r>
          <w:rPr>
            <w:rStyle w:val="Hyperlink"/>
          </w:rPr>
          <w:t xml:space="preserve">https://doi.org/10.1016/j.matdes.2016.03.097</w:t>
        </w:r>
      </w:hyperlink>
    </w:p>
    <w:p>
      <w:pPr>
        <w:pStyle w:val="Compact"/>
        <w:numPr>
          <w:ilvl w:val="0"/>
          <w:numId w:val="1010"/>
        </w:numPr>
      </w:pPr>
      <w:r>
        <w:t xml:space="preserve">R. Duballet, O. Baverel, J. Dirrenberger (2017). Classification of building systems for concrete 3D</w:t>
      </w:r>
      <w:r>
        <w:t xml:space="preserve"> </w:t>
      </w:r>
      <w:r>
        <w:t xml:space="preserve">printing.</w:t>
      </w:r>
      <w:r>
        <w:t xml:space="preserve"> </w:t>
      </w:r>
      <w:r>
        <w:rPr>
          <w:i/>
          <w:iCs/>
        </w:rPr>
        <w:t xml:space="preserve">Automation in Construction</w:t>
      </w:r>
      <w:r>
        <w:t xml:space="preserve"> </w:t>
      </w:r>
      <w:r>
        <w:t xml:space="preserve">83 247–258.</w:t>
      </w:r>
      <w:r>
        <w:t xml:space="preserve"> </w:t>
      </w:r>
      <w:hyperlink r:id="rId77">
        <w:r>
          <w:rPr>
            <w:rStyle w:val="Hyperlink"/>
          </w:rPr>
          <w:t xml:space="preserve">https://doi.org/10.1016/j.autcon.2017.08.018</w:t>
        </w:r>
      </w:hyperlink>
    </w:p>
    <w:p>
      <w:pPr>
        <w:pStyle w:val="Compact"/>
        <w:numPr>
          <w:ilvl w:val="0"/>
          <w:numId w:val="1010"/>
        </w:numPr>
      </w:pPr>
      <w:r>
        <w:t xml:space="preserve">D. Lowke, E. Dini, A. Perrot, D. Weger, C. Gehlen, B. Dillenburger (2018). Particle-bed 3D printing in</w:t>
      </w:r>
      <w:r>
        <w:t xml:space="preserve"> </w:t>
      </w:r>
      <w:r>
        <w:t xml:space="preserve">concrete construction — possibilities and challenges.</w:t>
      </w:r>
      <w:r>
        <w:t xml:space="preserve"> </w:t>
      </w:r>
      <w:r>
        <w:rPr>
          <w:i/>
          <w:iCs/>
        </w:rPr>
        <w:t xml:space="preserve">Cement and Concrete Research</w:t>
      </w:r>
      <w:r>
        <w:t xml:space="preserve"> </w:t>
      </w:r>
      <w:r>
        <w:t xml:space="preserve">112 50–65.</w:t>
      </w:r>
      <w:r>
        <w:t xml:space="preserve"> </w:t>
      </w:r>
      <w:hyperlink r:id="rId78">
        <w:r>
          <w:rPr>
            <w:rStyle w:val="Hyperlink"/>
          </w:rPr>
          <w:t xml:space="preserve">https://doi.org/10.1016/j.cemconres.2018.05.018</w:t>
        </w:r>
      </w:hyperlink>
    </w:p>
    <w:p>
      <w:pPr>
        <w:pStyle w:val="Compact"/>
        <w:numPr>
          <w:ilvl w:val="0"/>
          <w:numId w:val="1010"/>
        </w:numPr>
      </w:pPr>
      <w:r>
        <w:t xml:space="preserve">G. Ma, Z. Li, L. Wang (2018). Printable properties of cementitious material containing copper tailings</w:t>
      </w:r>
      <w:r>
        <w:t xml:space="preserve"> </w:t>
      </w:r>
      <w:r>
        <w:t xml:space="preserve">for extrusion-based 3D printing.</w:t>
      </w:r>
      <w:r>
        <w:t xml:space="preserve"> </w:t>
      </w:r>
      <w:r>
        <w:rPr>
          <w:i/>
          <w:iCs/>
        </w:rPr>
        <w:t xml:space="preserve">Construction and Building Materials</w:t>
      </w:r>
      <w:r>
        <w:t xml:space="preserve"> </w:t>
      </w:r>
      <w:r>
        <w:t xml:space="preserve">162 613–627.</w:t>
      </w:r>
      <w:r>
        <w:t xml:space="preserve"> </w:t>
      </w:r>
      <w:hyperlink r:id="rId79">
        <w:r>
          <w:rPr>
            <w:rStyle w:val="Hyperlink"/>
          </w:rPr>
          <w:t xml:space="preserve">https://doi.org/10.1016/j.conbuildmat.2017.12.051</w:t>
        </w:r>
      </w:hyperlink>
    </w:p>
    <w:p>
      <w:pPr>
        <w:pStyle w:val="Compact"/>
        <w:numPr>
          <w:ilvl w:val="0"/>
          <w:numId w:val="1010"/>
        </w:numPr>
      </w:pPr>
      <w:r>
        <w:t xml:space="preserve">T. Ding, J. Xiao, S. Zou, Y. Wang (2020). Hardened properties of layered 3D printed concrete with</w:t>
      </w:r>
      <w:r>
        <w:t xml:space="preserve"> </w:t>
      </w:r>
      <w:r>
        <w:t xml:space="preserve">recycled sand.</w:t>
      </w:r>
      <w:r>
        <w:t xml:space="preserve"> </w:t>
      </w:r>
      <w:r>
        <w:rPr>
          <w:i/>
          <w:iCs/>
        </w:rPr>
        <w:t xml:space="preserve">Cement and Concrete Composites</w:t>
      </w:r>
      <w:r>
        <w:t xml:space="preserve"> </w:t>
      </w:r>
      <w:r>
        <w:t xml:space="preserve">113 103724.</w:t>
      </w:r>
      <w:r>
        <w:t xml:space="preserve"> </w:t>
      </w:r>
      <w:hyperlink r:id="rId80">
        <w:r>
          <w:rPr>
            <w:rStyle w:val="Hyperlink"/>
          </w:rPr>
          <w:t xml:space="preserve">https://doi.org/10.1016/j.cemconcomp.2020.103724</w:t>
        </w:r>
      </w:hyperlink>
    </w:p>
    <w:p>
      <w:pPr>
        <w:pStyle w:val="Compact"/>
        <w:numPr>
          <w:ilvl w:val="0"/>
          <w:numId w:val="1010"/>
        </w:numPr>
      </w:pPr>
      <w:r>
        <w:t xml:space="preserve">D. Auer, F. Bos, O. Fischer (2024). 3DCP.fyi — a comprehensive citation network graph on the state of the</w:t>
      </w:r>
      <w:r>
        <w:t xml:space="preserve"> </w:t>
      </w:r>
      <w:r>
        <w:t xml:space="preserve">art in 3D concrete printing.</w:t>
      </w:r>
      <w:r>
        <w:t xml:space="preserve"> </w:t>
      </w:r>
      <w:r>
        <w:rPr>
          <w:i/>
          <w:iCs/>
        </w:rPr>
        <w:t xml:space="preserve">Fourth RILEM International Conference on Concrete and Digital Fabrication</w:t>
      </w:r>
      <w:r>
        <w:rPr>
          <w:i/>
          <w:iCs/>
        </w:rPr>
        <w:t xml:space="preserve"> </w:t>
      </w:r>
      <w:r>
        <w:rPr>
          <w:i/>
          <w:iCs/>
        </w:rPr>
        <w:t xml:space="preserve">(DC2024).</w:t>
      </w:r>
      <w:r>
        <w:t xml:space="preserve"> </w:t>
      </w:r>
      <w:hyperlink r:id="rId81">
        <w:r>
          <w:rPr>
            <w:rStyle w:val="Hyperlink"/>
          </w:rPr>
          <w:t xml:space="preserve">https://doi.org/10.1007/978-3-031-70031-6_62</w:t>
        </w:r>
      </w:hyperlink>
    </w:p>
    <w:p>
      <w:pPr>
        <w:pStyle w:val="Compact"/>
        <w:numPr>
          <w:ilvl w:val="0"/>
          <w:numId w:val="1010"/>
        </w:numPr>
      </w:pPr>
      <w:r>
        <w:t xml:space="preserve">T. Wangler, N. Roussel, F. P. Bos, T. A. M. Salet, R. J. Flatt (2019). Digital concrete: a review.</w:t>
      </w:r>
      <w:r>
        <w:t xml:space="preserve"> </w:t>
      </w:r>
      <w:r>
        <w:rPr>
          <w:i/>
          <w:iCs/>
        </w:rPr>
        <w:t xml:space="preserve">Cement and Concrete Research</w:t>
      </w:r>
      <w:r>
        <w:t xml:space="preserve"> </w:t>
      </w:r>
      <w:r>
        <w:t xml:space="preserve">123 105780.</w:t>
      </w:r>
      <w:r>
        <w:t xml:space="preserve"> </w:t>
      </w:r>
      <w:hyperlink r:id="rId82">
        <w:r>
          <w:rPr>
            <w:rStyle w:val="Hyperlink"/>
          </w:rPr>
          <w:t xml:space="preserve">https://doi.org/10.1016/j.cemconres.2019.105780</w:t>
        </w:r>
      </w:hyperlink>
    </w:p>
    <w:p>
      <w:pPr>
        <w:pStyle w:val="Compact"/>
        <w:numPr>
          <w:ilvl w:val="0"/>
          <w:numId w:val="1010"/>
        </w:numPr>
      </w:pPr>
      <w:r>
        <w:t xml:space="preserve">K. Vasilic (2024). Standardization aspects of concrete 3D printing: state of the art, requirements and</w:t>
      </w:r>
      <w:r>
        <w:t xml:space="preserve"> </w:t>
      </w:r>
      <w:r>
        <w:t xml:space="preserve">first steps towards standardization.</w:t>
      </w:r>
      <w:r>
        <w:t xml:space="preserve"> </w:t>
      </w:r>
      <w:r>
        <w:rPr>
          <w:i/>
          <w:iCs/>
        </w:rPr>
        <w:t xml:space="preserve">RILEM Technical Letters</w:t>
      </w:r>
      <w:r>
        <w:t xml:space="preserve"> </w:t>
      </w:r>
      <w:r>
        <w:t xml:space="preserve">9 98–105.</w:t>
      </w:r>
      <w:r>
        <w:t xml:space="preserve"> </w:t>
      </w:r>
      <w:hyperlink r:id="rId83">
        <w:r>
          <w:rPr>
            <w:rStyle w:val="Hyperlink"/>
          </w:rPr>
          <w:t xml:space="preserve">https://doi.org/10.21809/rilemtechlett.2024.201</w:t>
        </w:r>
      </w:hyperlink>
    </w:p>
    <w:p>
      <w:pPr>
        <w:pStyle w:val="Compact"/>
        <w:numPr>
          <w:ilvl w:val="0"/>
          <w:numId w:val="1010"/>
        </w:numPr>
      </w:pPr>
      <w:r>
        <w:t xml:space="preserve">Sunnyday Technologies (2026).</w:t>
      </w:r>
      <w:r>
        <w:t xml:space="preserve"> </w:t>
      </w:r>
      <w:r>
        <w:rPr>
          <w:i/>
          <w:iCs/>
        </w:rPr>
        <w:t xml:space="preserve">Open3DCP: Open Data Standard for 3D Concrete Printing</w:t>
      </w:r>
      <w:r>
        <w:t xml:space="preserve"> </w:t>
      </w:r>
      <w:r>
        <w:t xml:space="preserve">(v1.7.5).</w:t>
      </w:r>
      <w:r>
        <w:t xml:space="preserve"> </w:t>
      </w:r>
      <w:hyperlink r:id="rId84">
        <w:r>
          <w:rPr>
            <w:rStyle w:val="Hyperlink"/>
          </w:rPr>
          <w:t xml:space="preserve">https://github.com/sunnyday-technologies/Open3DCP</w:t>
        </w:r>
      </w:hyperlink>
      <w:r>
        <w:t xml:space="preserve">. Apache License 2.0; Zenodo concept DOI</w:t>
      </w:r>
      <w:r>
        <w:t xml:space="preserve"> </w:t>
      </w:r>
      <w:r>
        <w:rPr>
          <w:rStyle w:val="VerbatimChar"/>
        </w:rPr>
        <w:t xml:space="preserve">10.5281/zenodo.19647470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N. Roussel, D. Lowke (eds.) (2022).</w:t>
      </w:r>
      <w:r>
        <w:t xml:space="preserve"> </w:t>
      </w:r>
      <w:r>
        <w:rPr>
          <w:i/>
          <w:iCs/>
        </w:rPr>
        <w:t xml:space="preserve">Digital Fabrication with Cement-Based Materials: State-of-the-Art</w:t>
      </w:r>
      <w:r>
        <w:rPr>
          <w:i/>
          <w:iCs/>
        </w:rPr>
        <w:t xml:space="preserve"> </w:t>
      </w:r>
      <w:r>
        <w:rPr>
          <w:i/>
          <w:iCs/>
        </w:rPr>
        <w:t xml:space="preserve">Report of RILEM TC 276-DFC.</w:t>
      </w:r>
      <w:r>
        <w:t xml:space="preserve"> </w:t>
      </w:r>
      <w:r>
        <w:t xml:space="preserve">RILEM SOAR Vol. 36, Springer.</w:t>
      </w:r>
      <w:r>
        <w:t xml:space="preserve"> </w:t>
      </w:r>
      <w:hyperlink r:id="rId85">
        <w:r>
          <w:rPr>
            <w:rStyle w:val="Hyperlink"/>
          </w:rPr>
          <w:t xml:space="preserve">https://doi.org/10.1007/978-3-030-90535-4</w:t>
        </w:r>
      </w:hyperlink>
    </w:p>
    <w:p>
      <w:pPr>
        <w:pStyle w:val="Compact"/>
        <w:numPr>
          <w:ilvl w:val="0"/>
          <w:numId w:val="1010"/>
        </w:numPr>
      </w:pPr>
      <w:r>
        <w:t xml:space="preserve">International Code Council (2026).</w:t>
      </w:r>
      <w:r>
        <w:t xml:space="preserve"> </w:t>
      </w:r>
      <w:r>
        <w:rPr>
          <w:i/>
          <w:iCs/>
        </w:rPr>
        <w:t xml:space="preserve">ICC 1150-2026 Standard for 3D Automated Construction Technology for 3D</w:t>
      </w:r>
      <w:r>
        <w:rPr>
          <w:i/>
          <w:iCs/>
        </w:rPr>
        <w:t xml:space="preserve"> </w:t>
      </w:r>
      <w:r>
        <w:rPr>
          <w:i/>
          <w:iCs/>
        </w:rPr>
        <w:t xml:space="preserve">Concrete Walls.</w:t>
      </w:r>
      <w:r>
        <w:t xml:space="preserve"> </w:t>
      </w:r>
      <w:r>
        <w:t xml:space="preserve">ICC. ISBN 978-1-971077-70-3.</w:t>
      </w:r>
    </w:p>
    <w:p>
      <w:pPr>
        <w:pStyle w:val="Compact"/>
        <w:numPr>
          <w:ilvl w:val="0"/>
          <w:numId w:val="1010"/>
        </w:numPr>
      </w:pPr>
      <w:r>
        <w:t xml:space="preserve">F. Bos, A. Robens-Radermacher, S. Muthukrishnan, J. Versteegen, R. Wolfs, M. Santhanam, C. Menna,</w:t>
      </w:r>
      <w:r>
        <w:t xml:space="preserve"> </w:t>
      </w:r>
      <w:r>
        <w:t xml:space="preserve">V. Mechtcherine / RILEM TC 304-ADC (2024).</w:t>
      </w:r>
      <w:r>
        <w:t xml:space="preserve"> </w:t>
      </w:r>
      <w:r>
        <w:rPr>
          <w:i/>
          <w:iCs/>
        </w:rPr>
        <w:t xml:space="preserve">Database of the RILEM TC 304-ADC interlaboratory study on</w:t>
      </w:r>
      <w:r>
        <w:rPr>
          <w:i/>
          <w:iCs/>
        </w:rPr>
        <w:t xml:space="preserve"> </w:t>
      </w:r>
      <w:r>
        <w:rPr>
          <w:i/>
          <w:iCs/>
        </w:rPr>
        <w:t xml:space="preserve">mechanical properties of 3D printed concrete (ILS-mech)</w:t>
      </w:r>
      <w:r>
        <w:t xml:space="preserve"> </w:t>
      </w:r>
      <w:r>
        <w:t xml:space="preserve">[Dataset]. Zenodo.</w:t>
      </w:r>
      <w:r>
        <w:t xml:space="preserve"> </w:t>
      </w:r>
      <w:hyperlink r:id="rId86">
        <w:r>
          <w:rPr>
            <w:rStyle w:val="Hyperlink"/>
          </w:rPr>
          <w:t xml:space="preserve">https://doi.org/10.5281/zenodo.12200570</w:t>
        </w:r>
      </w:hyperlink>
      <w:r>
        <w:t xml:space="preserve"> </w:t>
      </w:r>
      <w:r>
        <w:t xml:space="preserve">(CC BY 4.0).</w:t>
      </w:r>
    </w:p>
    <w:p>
      <w:pPr>
        <w:pStyle w:val="Compact"/>
        <w:numPr>
          <w:ilvl w:val="0"/>
          <w:numId w:val="1010"/>
        </w:numPr>
      </w:pPr>
      <w:r>
        <w:t xml:space="preserve">B. Baten, M. A. Iqbal, S. Ament, J. Kusuma, N. Garg (2026).</w:t>
      </w:r>
      <w:r>
        <w:t xml:space="preserve"> </w:t>
      </w:r>
      <w:r>
        <w:rPr>
          <w:i/>
          <w:iCs/>
        </w:rPr>
        <w:t xml:space="preserve">SustainableConcrete / BOxCrete</w:t>
      </w:r>
      <w:r>
        <w:t xml:space="preserve"> </w:t>
      </w:r>
      <w:r>
        <w:t xml:space="preserve">[Dataset &amp; code]. Meta Platforms, Inc. / University of Illinois Urbana-Champaign / Amrize.</w:t>
      </w:r>
      <w:r>
        <w:t xml:space="preserve"> </w:t>
      </w:r>
      <w:hyperlink r:id="rId87">
        <w:r>
          <w:rPr>
            <w:rStyle w:val="Hyperlink"/>
          </w:rPr>
          <w:t xml:space="preserve">https://github.com/facebookresearch/SustainableConcrete</w:t>
        </w:r>
      </w:hyperlink>
      <w:r>
        <w:t xml:space="preserve">. MIT License.</w:t>
      </w:r>
    </w:p>
    <w:p>
      <w:pPr>
        <w:pStyle w:val="Compact"/>
        <w:numPr>
          <w:ilvl w:val="0"/>
          <w:numId w:val="1010"/>
        </w:numPr>
      </w:pPr>
      <w:r>
        <w:t xml:space="preserve">J. Gao, Z. Wang, C. Wang (2023).</w:t>
      </w:r>
      <w:r>
        <w:t xml:space="preserve"> </w:t>
      </w:r>
      <w:r>
        <w:rPr>
          <w:i/>
          <w:iCs/>
        </w:rPr>
        <w:t xml:space="preserve">3D Printing Concrete Mix Design Open Dataset</w:t>
      </w:r>
      <w:r>
        <w:t xml:space="preserve"> </w:t>
      </w:r>
      <w:r>
        <w:t xml:space="preserve">(v0.3) [Dataset].</w:t>
      </w:r>
      <w:r>
        <w:t xml:space="preserve"> </w:t>
      </w:r>
      <w:r>
        <w:t xml:space="preserve">University of Florida. Zenodo.</w:t>
      </w:r>
      <w:r>
        <w:t xml:space="preserve"> </w:t>
      </w:r>
      <w:hyperlink r:id="rId88">
        <w:r>
          <w:rPr>
            <w:rStyle w:val="Hyperlink"/>
          </w:rPr>
          <w:t xml:space="preserve">https://doi.org/10.5281/zenodo.6828947</w:t>
        </w:r>
      </w:hyperlink>
      <w:r>
        <w:t xml:space="preserve"> </w:t>
      </w:r>
      <w:r>
        <w:t xml:space="preserve">(CC BY 4.0).</w:t>
      </w:r>
    </w:p>
    <w:p>
      <w:pPr>
        <w:pStyle w:val="Compact"/>
        <w:numPr>
          <w:ilvl w:val="0"/>
          <w:numId w:val="1010"/>
        </w:numPr>
      </w:pPr>
      <w:r>
        <w:t xml:space="preserve">G. Placzek (2024).</w:t>
      </w:r>
      <w:r>
        <w:t xml:space="preserve"> </w:t>
      </w:r>
      <w:r>
        <w:rPr>
          <w:i/>
          <w:iCs/>
        </w:rPr>
        <w:t xml:space="preserve">Database of 3D Concrete Printed Buildings</w:t>
      </w:r>
      <w:r>
        <w:t xml:space="preserve"> </w:t>
      </w:r>
      <w:r>
        <w:t xml:space="preserve">[Dataset]. Zenodo.</w:t>
      </w:r>
      <w:r>
        <w:t xml:space="preserve"> </w:t>
      </w:r>
      <w:hyperlink r:id="rId89">
        <w:r>
          <w:rPr>
            <w:rStyle w:val="Hyperlink"/>
          </w:rPr>
          <w:t xml:space="preserve">https://doi.org/10.5281/zenodo.14214812</w:t>
        </w:r>
      </w:hyperlink>
      <w:r>
        <w:t xml:space="preserve"> </w:t>
      </w:r>
      <w:r>
        <w:t xml:space="preserve">(CC BY 4.0). Data collection: M. Dahlberg.</w:t>
      </w:r>
    </w:p>
    <w:p>
      <w:pPr>
        <w:pStyle w:val="FirstParagraph"/>
      </w:pPr>
      <w:r>
        <w:rPr>
          <w:i/>
          <w:iCs/>
        </w:rPr>
        <w:t xml:space="preserve">Corresponding author: Nicholas Sonnentag, Sunnyday Technologies (nick@sunn3d.com).</w:t>
      </w:r>
    </w:p>
    <w:bookmarkEnd w:id="90"/>
    <w:bookmarkEnd w:id="9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cs="Arial" w:hAnsi="Arial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="Arial" w:cs="Arial" w:hAnsi="Arial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="Arial" w:cs="Arial" w:hAnsi="Arial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ascii="Arial" w:cs="Arial" w:hAnsi="Arial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ascii="Arial" w:cs="Arial" w:hAnsi="Arial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="Arial" w:cs="Arial" w:hAnsi="Arial"/>
      <w:color w:val="013A73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="Arial" w:cs="Arial" w:hAnsi="Arial"/>
      <w:color w:val="013A73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ascii="Arial" w:cs="Arial" w:hAnsi="Arial"/>
      <w:color w:val="013A73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ascii="Arial" w:cs="Arial" w:hAnsi="Arial"/>
      <w:i/>
      <w:iCs/>
      <w:color w:val="013A73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ascii="Arial" w:cs="Arial" w:hAnsi="Arial"/>
      <w:color w:val="013A73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ascii="Arial" w:cs="Arial" w:hAnsi="Arial"/>
      <w:i/>
      <w:iCs/>
      <w:color w:val="013A73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ascii="Arial" w:cs="Arial" w:hAnsi="Arial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ascii="Arial" w:cs="Arial" w:hAnsi="Arial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ascii="Arial" w:cs="Arial" w:hAnsi="Arial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="Arial" w:cs="Arial" w:hAnsi="Arial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="Arial" w:cs="Arial" w:hAnsi="Arial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ascii="Arial" w:cs="Arial" w:hAnsi="Arial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ascii="Arial" w:cs="Arial" w:hAnsi="Arial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ascii="Arial" w:cs="Arial" w:hAnsi="Arial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ascii="Arial" w:cs="Arial" w:hAnsi="Arial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ascii="Arial" w:cs="Arial" w:hAnsi="Arial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ascii="Arial" w:cs="Arial" w:hAnsi="Arial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ascii="Arial" w:cs="Arial" w:hAnsi="Arial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Arial" w:cs="Arial" w:hAnsi="Arial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="Arial" w:cs="Arial" w:hAnsi="Arial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png" /><Relationship Type="http://schemas.openxmlformats.org/officeDocument/2006/relationships/image" Id="rId18" Target="media/rId1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hyperlink" Id="rId40" Target="https://creativecommons.org/licenses/by/4.0/" TargetMode="External" /><Relationship Type="http://schemas.openxmlformats.org/officeDocument/2006/relationships/hyperlink" Id="rId85" Target="https://doi.org/10.1007/978-3-030-90535-4" TargetMode="External" /><Relationship Type="http://schemas.openxmlformats.org/officeDocument/2006/relationships/hyperlink" Id="rId81" Target="https://doi.org/10.1007/978-3-031-70031-6_62" TargetMode="External" /><Relationship Type="http://schemas.openxmlformats.org/officeDocument/2006/relationships/hyperlink" Id="rId45" Target="https://doi.org/10.1016/S0008-8846(98)00165-3" TargetMode="External" /><Relationship Type="http://schemas.openxmlformats.org/officeDocument/2006/relationships/hyperlink" Id="rId58" Target="https://doi.org/10.1016/S0926-5805(96)00166-5" TargetMode="External" /><Relationship Type="http://schemas.openxmlformats.org/officeDocument/2006/relationships/hyperlink" Id="rId69" Target="https://doi.org/10.1016/j.acme.2017.02.008" TargetMode="External" /><Relationship Type="http://schemas.openxmlformats.org/officeDocument/2006/relationships/hyperlink" Id="rId60" Target="https://doi.org/10.1016/j.actaastro.2013.07.034" TargetMode="External" /><Relationship Type="http://schemas.openxmlformats.org/officeDocument/2006/relationships/hyperlink" Id="rId47" Target="https://doi.org/10.1016/j.addma.2020.101740" TargetMode="External" /><Relationship Type="http://schemas.openxmlformats.org/officeDocument/2006/relationships/hyperlink" Id="rId59" Target="https://doi.org/10.1016/j.autcon.2003.08.012" TargetMode="External" /><Relationship Type="http://schemas.openxmlformats.org/officeDocument/2006/relationships/hyperlink" Id="rId62" Target="https://doi.org/10.1016/j.autcon.2011.06.010" TargetMode="External" /><Relationship Type="http://schemas.openxmlformats.org/officeDocument/2006/relationships/hyperlink" Id="rId77" Target="https://doi.org/10.1016/j.autcon.2017.08.018" TargetMode="External" /><Relationship Type="http://schemas.openxmlformats.org/officeDocument/2006/relationships/hyperlink" Id="rId71" Target="https://doi.org/10.1016/j.autcon.2019.102992" TargetMode="External" /><Relationship Type="http://schemas.openxmlformats.org/officeDocument/2006/relationships/hyperlink" Id="rId66" Target="https://doi.org/10.1016/j.cemconcomp.2018.10.002" TargetMode="External" /><Relationship Type="http://schemas.openxmlformats.org/officeDocument/2006/relationships/hyperlink" Id="rId80" Target="https://doi.org/10.1016/j.cemconcomp.2020.103724" TargetMode="External" /><Relationship Type="http://schemas.openxmlformats.org/officeDocument/2006/relationships/hyperlink" Id="rId46" Target="https://doi.org/10.1016/j.cemconres.2018.02.001" TargetMode="External" /><Relationship Type="http://schemas.openxmlformats.org/officeDocument/2006/relationships/hyperlink" Id="rId48" Target="https://doi.org/10.1016/j.cemconres.2018.04.005" TargetMode="External" /><Relationship Type="http://schemas.openxmlformats.org/officeDocument/2006/relationships/hyperlink" Id="rId44" Target="https://doi.org/10.1016/j.cemconres.2018.05.006" TargetMode="External" /><Relationship Type="http://schemas.openxmlformats.org/officeDocument/2006/relationships/hyperlink" Id="rId78" Target="https://doi.org/10.1016/j.cemconres.2018.05.018" TargetMode="External" /><Relationship Type="http://schemas.openxmlformats.org/officeDocument/2006/relationships/hyperlink" Id="rId72" Target="https://doi.org/10.1016/j.cemconres.2018.05.020" TargetMode="External" /><Relationship Type="http://schemas.openxmlformats.org/officeDocument/2006/relationships/hyperlink" Id="rId43" Target="https://doi.org/10.1016/j.cemconres.2018.06.001" TargetMode="External" /><Relationship Type="http://schemas.openxmlformats.org/officeDocument/2006/relationships/hyperlink" Id="rId75" Target="https://doi.org/10.1016/j.cemconres.2018.08.003" TargetMode="External" /><Relationship Type="http://schemas.openxmlformats.org/officeDocument/2006/relationships/hyperlink" Id="rId82" Target="https://doi.org/10.1016/j.cemconres.2019.105780" TargetMode="External" /><Relationship Type="http://schemas.openxmlformats.org/officeDocument/2006/relationships/hyperlink" Id="rId74" Target="https://doi.org/10.1016/j.cemconres.2020.106037" TargetMode="External" /><Relationship Type="http://schemas.openxmlformats.org/officeDocument/2006/relationships/hyperlink" Id="rId50" Target="https://doi.org/10.1016/j.cemconres.2021.106559" TargetMode="External" /><Relationship Type="http://schemas.openxmlformats.org/officeDocument/2006/relationships/hyperlink" Id="rId68" Target="https://doi.org/10.1016/j.compositesb.2019.106968" TargetMode="External" /><Relationship Type="http://schemas.openxmlformats.org/officeDocument/2006/relationships/hyperlink" Id="rId67" Target="https://doi.org/10.1016/j.compositesb.2019.107290" TargetMode="External" /><Relationship Type="http://schemas.openxmlformats.org/officeDocument/2006/relationships/hyperlink" Id="rId79" Target="https://doi.org/10.1016/j.conbuildmat.2017.12.051" TargetMode="External" /><Relationship Type="http://schemas.openxmlformats.org/officeDocument/2006/relationships/hyperlink" Id="rId49" Target="https://doi.org/10.1016/j.conbuildmat.2018.03.232" TargetMode="External" /><Relationship Type="http://schemas.openxmlformats.org/officeDocument/2006/relationships/hyperlink" Id="rId73" Target="https://doi.org/10.1016/j.engstruct.2021.112380" TargetMode="External" /><Relationship Type="http://schemas.openxmlformats.org/officeDocument/2006/relationships/hyperlink" Id="rId64" Target="https://doi.org/10.1016/j.ijmecsci.2018.01.010" TargetMode="External" /><Relationship Type="http://schemas.openxmlformats.org/officeDocument/2006/relationships/hyperlink" Id="rId76" Target="https://doi.org/10.1016/j.matdes.2016.03.097" TargetMode="External" /><Relationship Type="http://schemas.openxmlformats.org/officeDocument/2006/relationships/hyperlink" Id="rId57" Target="https://doi.org/10.1038/sdata.2016.18" TargetMode="External" /><Relationship Type="http://schemas.openxmlformats.org/officeDocument/2006/relationships/hyperlink" Id="rId42" Target="https://doi.org/10.1080/17452759.2016.1209867" TargetMode="External" /><Relationship Type="http://schemas.openxmlformats.org/officeDocument/2006/relationships/hyperlink" Id="rId63" Target="https://doi.org/10.1080/17452759.2018.1476064" TargetMode="External" /><Relationship Type="http://schemas.openxmlformats.org/officeDocument/2006/relationships/hyperlink" Id="rId55" Target="https://doi.org/10.1126/science.277.5330.1237" TargetMode="External" /><Relationship Type="http://schemas.openxmlformats.org/officeDocument/2006/relationships/hyperlink" Id="rId56" Target="https://doi.org/10.1126/science.288.5468.993" TargetMode="External" /><Relationship Type="http://schemas.openxmlformats.org/officeDocument/2006/relationships/hyperlink" Id="rId61" Target="https://doi.org/10.1617/s11527-012-9828-z" TargetMode="External" /><Relationship Type="http://schemas.openxmlformats.org/officeDocument/2006/relationships/hyperlink" Id="rId65" Target="https://doi.org/10.1617/s11527-015-0571-0" TargetMode="External" /><Relationship Type="http://schemas.openxmlformats.org/officeDocument/2006/relationships/hyperlink" Id="rId54" Target="https://doi.org/10.1617/s11527-025-02650-9" TargetMode="External" /><Relationship Type="http://schemas.openxmlformats.org/officeDocument/2006/relationships/hyperlink" Id="rId51" Target="https://doi.org/10.1617/s11527-025-02686-x" TargetMode="External" /><Relationship Type="http://schemas.openxmlformats.org/officeDocument/2006/relationships/hyperlink" Id="rId53" Target="https://doi.org/10.1617/s11527-025-02687-w" TargetMode="External" /><Relationship Type="http://schemas.openxmlformats.org/officeDocument/2006/relationships/hyperlink" Id="rId52" Target="https://doi.org/10.1617/s11527-025-02688-9" TargetMode="External" /><Relationship Type="http://schemas.openxmlformats.org/officeDocument/2006/relationships/hyperlink" Id="rId70" Target="https://doi.org/10.21809/rilemtechlett.2019.84" TargetMode="External" /><Relationship Type="http://schemas.openxmlformats.org/officeDocument/2006/relationships/hyperlink" Id="rId83" Target="https://doi.org/10.21809/rilemtechlett.2024.201" TargetMode="External" /><Relationship Type="http://schemas.openxmlformats.org/officeDocument/2006/relationships/hyperlink" Id="rId86" Target="https://doi.org/10.5281/zenodo.12200570" TargetMode="External" /><Relationship Type="http://schemas.openxmlformats.org/officeDocument/2006/relationships/hyperlink" Id="rId89" Target="https://doi.org/10.5281/zenodo.14214812" TargetMode="External" /><Relationship Type="http://schemas.openxmlformats.org/officeDocument/2006/relationships/hyperlink" Id="rId88" Target="https://doi.org/10.5281/zenodo.6828947" TargetMode="External" /><Relationship Type="http://schemas.openxmlformats.org/officeDocument/2006/relationships/hyperlink" Id="rId87" Target="https://github.com/facebookresearch/SustainableConcrete" TargetMode="External" /><Relationship Type="http://schemas.openxmlformats.org/officeDocument/2006/relationships/hyperlink" Id="rId84" Target="https://github.com/sunnyday-technologies/Open3DC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s://creativecommons.org/licenses/by/4.0/" TargetMode="External" /><Relationship Type="http://schemas.openxmlformats.org/officeDocument/2006/relationships/hyperlink" Id="rId85" Target="https://doi.org/10.1007/978-3-030-90535-4" TargetMode="External" /><Relationship Type="http://schemas.openxmlformats.org/officeDocument/2006/relationships/hyperlink" Id="rId81" Target="https://doi.org/10.1007/978-3-031-70031-6_62" TargetMode="External" /><Relationship Type="http://schemas.openxmlformats.org/officeDocument/2006/relationships/hyperlink" Id="rId45" Target="https://doi.org/10.1016/S0008-8846(98)00165-3" TargetMode="External" /><Relationship Type="http://schemas.openxmlformats.org/officeDocument/2006/relationships/hyperlink" Id="rId58" Target="https://doi.org/10.1016/S0926-5805(96)00166-5" TargetMode="External" /><Relationship Type="http://schemas.openxmlformats.org/officeDocument/2006/relationships/hyperlink" Id="rId69" Target="https://doi.org/10.1016/j.acme.2017.02.008" TargetMode="External" /><Relationship Type="http://schemas.openxmlformats.org/officeDocument/2006/relationships/hyperlink" Id="rId60" Target="https://doi.org/10.1016/j.actaastro.2013.07.034" TargetMode="External" /><Relationship Type="http://schemas.openxmlformats.org/officeDocument/2006/relationships/hyperlink" Id="rId47" Target="https://doi.org/10.1016/j.addma.2020.101740" TargetMode="External" /><Relationship Type="http://schemas.openxmlformats.org/officeDocument/2006/relationships/hyperlink" Id="rId59" Target="https://doi.org/10.1016/j.autcon.2003.08.012" TargetMode="External" /><Relationship Type="http://schemas.openxmlformats.org/officeDocument/2006/relationships/hyperlink" Id="rId62" Target="https://doi.org/10.1016/j.autcon.2011.06.010" TargetMode="External" /><Relationship Type="http://schemas.openxmlformats.org/officeDocument/2006/relationships/hyperlink" Id="rId77" Target="https://doi.org/10.1016/j.autcon.2017.08.018" TargetMode="External" /><Relationship Type="http://schemas.openxmlformats.org/officeDocument/2006/relationships/hyperlink" Id="rId71" Target="https://doi.org/10.1016/j.autcon.2019.102992" TargetMode="External" /><Relationship Type="http://schemas.openxmlformats.org/officeDocument/2006/relationships/hyperlink" Id="rId66" Target="https://doi.org/10.1016/j.cemconcomp.2018.10.002" TargetMode="External" /><Relationship Type="http://schemas.openxmlformats.org/officeDocument/2006/relationships/hyperlink" Id="rId80" Target="https://doi.org/10.1016/j.cemconcomp.2020.103724" TargetMode="External" /><Relationship Type="http://schemas.openxmlformats.org/officeDocument/2006/relationships/hyperlink" Id="rId46" Target="https://doi.org/10.1016/j.cemconres.2018.02.001" TargetMode="External" /><Relationship Type="http://schemas.openxmlformats.org/officeDocument/2006/relationships/hyperlink" Id="rId48" Target="https://doi.org/10.1016/j.cemconres.2018.04.005" TargetMode="External" /><Relationship Type="http://schemas.openxmlformats.org/officeDocument/2006/relationships/hyperlink" Id="rId44" Target="https://doi.org/10.1016/j.cemconres.2018.05.006" TargetMode="External" /><Relationship Type="http://schemas.openxmlformats.org/officeDocument/2006/relationships/hyperlink" Id="rId78" Target="https://doi.org/10.1016/j.cemconres.2018.05.018" TargetMode="External" /><Relationship Type="http://schemas.openxmlformats.org/officeDocument/2006/relationships/hyperlink" Id="rId72" Target="https://doi.org/10.1016/j.cemconres.2018.05.020" TargetMode="External" /><Relationship Type="http://schemas.openxmlformats.org/officeDocument/2006/relationships/hyperlink" Id="rId43" Target="https://doi.org/10.1016/j.cemconres.2018.06.001" TargetMode="External" /><Relationship Type="http://schemas.openxmlformats.org/officeDocument/2006/relationships/hyperlink" Id="rId75" Target="https://doi.org/10.1016/j.cemconres.2018.08.003" TargetMode="External" /><Relationship Type="http://schemas.openxmlformats.org/officeDocument/2006/relationships/hyperlink" Id="rId82" Target="https://doi.org/10.1016/j.cemconres.2019.105780" TargetMode="External" /><Relationship Type="http://schemas.openxmlformats.org/officeDocument/2006/relationships/hyperlink" Id="rId74" Target="https://doi.org/10.1016/j.cemconres.2020.106037" TargetMode="External" /><Relationship Type="http://schemas.openxmlformats.org/officeDocument/2006/relationships/hyperlink" Id="rId50" Target="https://doi.org/10.1016/j.cemconres.2021.106559" TargetMode="External" /><Relationship Type="http://schemas.openxmlformats.org/officeDocument/2006/relationships/hyperlink" Id="rId68" Target="https://doi.org/10.1016/j.compositesb.2019.106968" TargetMode="External" /><Relationship Type="http://schemas.openxmlformats.org/officeDocument/2006/relationships/hyperlink" Id="rId67" Target="https://doi.org/10.1016/j.compositesb.2019.107290" TargetMode="External" /><Relationship Type="http://schemas.openxmlformats.org/officeDocument/2006/relationships/hyperlink" Id="rId79" Target="https://doi.org/10.1016/j.conbuildmat.2017.12.051" TargetMode="External" /><Relationship Type="http://schemas.openxmlformats.org/officeDocument/2006/relationships/hyperlink" Id="rId49" Target="https://doi.org/10.1016/j.conbuildmat.2018.03.232" TargetMode="External" /><Relationship Type="http://schemas.openxmlformats.org/officeDocument/2006/relationships/hyperlink" Id="rId73" Target="https://doi.org/10.1016/j.engstruct.2021.112380" TargetMode="External" /><Relationship Type="http://schemas.openxmlformats.org/officeDocument/2006/relationships/hyperlink" Id="rId64" Target="https://doi.org/10.1016/j.ijmecsci.2018.01.010" TargetMode="External" /><Relationship Type="http://schemas.openxmlformats.org/officeDocument/2006/relationships/hyperlink" Id="rId76" Target="https://doi.org/10.1016/j.matdes.2016.03.097" TargetMode="External" /><Relationship Type="http://schemas.openxmlformats.org/officeDocument/2006/relationships/hyperlink" Id="rId57" Target="https://doi.org/10.1038/sdata.2016.18" TargetMode="External" /><Relationship Type="http://schemas.openxmlformats.org/officeDocument/2006/relationships/hyperlink" Id="rId42" Target="https://doi.org/10.1080/17452759.2016.1209867" TargetMode="External" /><Relationship Type="http://schemas.openxmlformats.org/officeDocument/2006/relationships/hyperlink" Id="rId63" Target="https://doi.org/10.1080/17452759.2018.1476064" TargetMode="External" /><Relationship Type="http://schemas.openxmlformats.org/officeDocument/2006/relationships/hyperlink" Id="rId55" Target="https://doi.org/10.1126/science.277.5330.1237" TargetMode="External" /><Relationship Type="http://schemas.openxmlformats.org/officeDocument/2006/relationships/hyperlink" Id="rId56" Target="https://doi.org/10.1126/science.288.5468.993" TargetMode="External" /><Relationship Type="http://schemas.openxmlformats.org/officeDocument/2006/relationships/hyperlink" Id="rId61" Target="https://doi.org/10.1617/s11527-012-9828-z" TargetMode="External" /><Relationship Type="http://schemas.openxmlformats.org/officeDocument/2006/relationships/hyperlink" Id="rId65" Target="https://doi.org/10.1617/s11527-015-0571-0" TargetMode="External" /><Relationship Type="http://schemas.openxmlformats.org/officeDocument/2006/relationships/hyperlink" Id="rId54" Target="https://doi.org/10.1617/s11527-025-02650-9" TargetMode="External" /><Relationship Type="http://schemas.openxmlformats.org/officeDocument/2006/relationships/hyperlink" Id="rId51" Target="https://doi.org/10.1617/s11527-025-02686-x" TargetMode="External" /><Relationship Type="http://schemas.openxmlformats.org/officeDocument/2006/relationships/hyperlink" Id="rId53" Target="https://doi.org/10.1617/s11527-025-02687-w" TargetMode="External" /><Relationship Type="http://schemas.openxmlformats.org/officeDocument/2006/relationships/hyperlink" Id="rId52" Target="https://doi.org/10.1617/s11527-025-02688-9" TargetMode="External" /><Relationship Type="http://schemas.openxmlformats.org/officeDocument/2006/relationships/hyperlink" Id="rId70" Target="https://doi.org/10.21809/rilemtechlett.2019.84" TargetMode="External" /><Relationship Type="http://schemas.openxmlformats.org/officeDocument/2006/relationships/hyperlink" Id="rId83" Target="https://doi.org/10.21809/rilemtechlett.2024.201" TargetMode="External" /><Relationship Type="http://schemas.openxmlformats.org/officeDocument/2006/relationships/hyperlink" Id="rId86" Target="https://doi.org/10.5281/zenodo.12200570" TargetMode="External" /><Relationship Type="http://schemas.openxmlformats.org/officeDocument/2006/relationships/hyperlink" Id="rId89" Target="https://doi.org/10.5281/zenodo.14214812" TargetMode="External" /><Relationship Type="http://schemas.openxmlformats.org/officeDocument/2006/relationships/hyperlink" Id="rId88" Target="https://doi.org/10.5281/zenodo.6828947" TargetMode="External" /><Relationship Type="http://schemas.openxmlformats.org/officeDocument/2006/relationships/hyperlink" Id="rId87" Target="https://github.com/facebookresearch/SustainableConcrete" TargetMode="External" /><Relationship Type="http://schemas.openxmlformats.org/officeDocument/2006/relationships/hyperlink" Id="rId84" Target="https://github.com/sunnyday-technologies/Open3DC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Open3DCP: A Public Data Schema for 3D Concrete Printing</dc:title>
  <dc:creator>Nicholas Sonnentag — Sunnyday Technologies, Wisconsin, USA</dc:creator>
  <cp:keywords>3D concrete printing, data schema, ICME, FAIR data, digital twin, rheology, interlayer bond, UHPC</cp:keywords>
  <dcterms:created xsi:type="dcterms:W3CDTF">2026-06-10T08:03:19Z</dcterms:created>
  <dcterms:modified xsi:type="dcterms:W3CDTF">2026-06-10T08:03:19Z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2026-06-10</vt:lpwstr>
  </property>
  <property fmtid="{D5CDD505-2E9C-101B-9397-08002B2CF9AE}" pid="3" name="orcid">
    <vt:lpwstr>0009-0002-1897-384X</vt:lpwstr>
  </property>
  <property fmtid="{D5CDD505-2E9C-101B-9397-08002B2CF9AE}" pid="4" name="status">
    <vt:lpwstr>Draft — public preprint</vt:lpwstr>
  </property>
  <property fmtid="{D5CDD505-2E9C-101B-9397-08002B2CF9AE}" pid="5" name="subtitle">
    <vt:lpwstr>Design, rationale, and the measurement gaps of an analysis-ready record for extrusion 3D concrete printing</vt:lpwstr>
  </property>
  <property fmtid="{D5CDD505-2E9C-101B-9397-08002B2CF9AE}" pid="6" name="version">
    <vt:lpwstr>Manuscript v1.0 (preprint) — describes Open3DCP schema v1.7.5</vt:lpwstr>
  </property>
</Properties>
</file>